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Times New Roman" w:hAnsi="Times New Roman" w:cs="Times New Roman"/>
          <w:color w:val="FF0000"/>
        </w:rPr>
      </w:pPr>
      <w:r>
        <w:rPr>
          <w:rFonts w:ascii="Times New Roman" w:hAnsi="Times New Roman" w:cs="Times New Roman"/>
          <w:color w:val="FF0000"/>
        </w:rPr>
        <w:t xml:space="preserve">                                                                                            .</w:t>
      </w:r>
    </w:p>
    <w:p>
      <w:pPr>
        <w:jc w:val="center"/>
        <w:rPr>
          <w:rFonts w:ascii="Times New Roman" w:hAnsi="Times New Roman" w:cs="Times New Roman"/>
          <w:color w:val="FF0000"/>
        </w:rPr>
      </w:pPr>
    </w:p>
    <w:p>
      <w:pPr>
        <w:jc w:val="center"/>
        <w:rPr>
          <w:rFonts w:ascii="Times New Roman" w:hAnsi="Times New Roman" w:eastAsia="楷体" w:cs="Times New Roman"/>
        </w:rPr>
      </w:pPr>
    </w:p>
    <w:p>
      <w:pPr>
        <w:jc w:val="center"/>
        <w:rPr>
          <w:rFonts w:ascii="Times New Roman" w:hAnsi="Times New Roman" w:eastAsia="楷体" w:cs="Times New Roman"/>
        </w:rPr>
      </w:pPr>
    </w:p>
    <w:p>
      <w:pPr>
        <w:jc w:val="center"/>
        <w:rPr>
          <w:rFonts w:ascii="Times New Roman" w:hAnsi="Times New Roman" w:eastAsia="楷体" w:cs="Times New Roman"/>
        </w:rPr>
      </w:pPr>
    </w:p>
    <w:p>
      <w:pPr>
        <w:jc w:val="center"/>
        <w:rPr>
          <w:rFonts w:ascii="Times New Roman" w:hAnsi="Times New Roman" w:eastAsia="楷体" w:cs="Times New Roman"/>
        </w:rPr>
      </w:pPr>
    </w:p>
    <w:p>
      <w:pPr>
        <w:jc w:val="center"/>
        <w:rPr>
          <w:rFonts w:ascii="Times New Roman" w:hAnsi="Times New Roman" w:eastAsia="楷体" w:cs="Times New Roman"/>
        </w:rPr>
      </w:pPr>
    </w:p>
    <w:p>
      <w:pPr>
        <w:jc w:val="center"/>
        <w:rPr>
          <w:rFonts w:ascii="Times New Roman" w:hAnsi="Times New Roman" w:eastAsia="楷体" w:cs="Times New Roman"/>
        </w:rPr>
      </w:pPr>
    </w:p>
    <w:p>
      <w:pPr>
        <w:widowControl/>
        <w:adjustRightInd w:val="0"/>
        <w:snapToGrid w:val="0"/>
        <w:spacing w:after="200" w:line="360" w:lineRule="auto"/>
        <w:jc w:val="center"/>
        <w:rPr>
          <w:rFonts w:ascii="Times New Roman" w:hAnsi="Times New Roman" w:eastAsia="楷体" w:cs="Times New Roman"/>
          <w:b/>
          <w:bCs/>
          <w:kern w:val="0"/>
          <w:sz w:val="48"/>
          <w:szCs w:val="48"/>
        </w:rPr>
      </w:pPr>
      <w:bookmarkStart w:id="0" w:name="_Toc32625"/>
      <w:r>
        <w:rPr>
          <w:rFonts w:ascii="Times New Roman" w:hAnsi="Times New Roman" w:eastAsia="楷体" w:cs="Times New Roman"/>
          <w:b/>
          <w:bCs/>
          <w:kern w:val="0"/>
          <w:sz w:val="48"/>
          <w:szCs w:val="48"/>
        </w:rPr>
        <w:t>黑龙江路原环保沥青（彩色）混凝土拌合站</w:t>
      </w:r>
      <w:bookmarkEnd w:id="0"/>
    </w:p>
    <w:p>
      <w:pPr>
        <w:widowControl/>
        <w:adjustRightInd w:val="0"/>
        <w:snapToGrid w:val="0"/>
        <w:spacing w:after="200" w:line="360" w:lineRule="auto"/>
        <w:jc w:val="center"/>
        <w:rPr>
          <w:rFonts w:ascii="Times New Roman" w:hAnsi="Times New Roman" w:eastAsia="楷体" w:cs="Times New Roman"/>
          <w:b/>
          <w:bCs/>
          <w:kern w:val="0"/>
          <w:sz w:val="48"/>
          <w:szCs w:val="48"/>
        </w:rPr>
      </w:pPr>
      <w:bookmarkStart w:id="1" w:name="_Toc8045"/>
      <w:r>
        <w:rPr>
          <w:rFonts w:ascii="Times New Roman" w:hAnsi="Times New Roman" w:eastAsia="楷体" w:cs="Times New Roman"/>
          <w:b/>
          <w:bCs/>
          <w:kern w:val="0"/>
          <w:sz w:val="48"/>
          <w:szCs w:val="48"/>
        </w:rPr>
        <w:t>建设项目竣工环境保护</w:t>
      </w:r>
      <w:bookmarkEnd w:id="1"/>
      <w:bookmarkStart w:id="2" w:name="_Toc27087"/>
      <w:r>
        <w:rPr>
          <w:rFonts w:ascii="Times New Roman" w:hAnsi="Times New Roman" w:eastAsia="楷体" w:cs="Times New Roman"/>
          <w:b/>
          <w:bCs/>
          <w:kern w:val="0"/>
          <w:sz w:val="48"/>
          <w:szCs w:val="48"/>
        </w:rPr>
        <w:t>验收监测报告表</w:t>
      </w:r>
      <w:bookmarkEnd w:id="2"/>
    </w:p>
    <w:p>
      <w:pPr>
        <w:jc w:val="center"/>
        <w:rPr>
          <w:rFonts w:ascii="Times New Roman" w:hAnsi="Times New Roman" w:eastAsia="楷体" w:cs="Times New Roman"/>
          <w:b/>
          <w:bCs/>
          <w:sz w:val="44"/>
          <w:szCs w:val="44"/>
        </w:rPr>
      </w:pPr>
    </w:p>
    <w:p>
      <w:pPr>
        <w:jc w:val="center"/>
        <w:rPr>
          <w:rFonts w:ascii="Times New Roman" w:hAnsi="Times New Roman" w:eastAsia="楷体" w:cs="Times New Roman"/>
          <w:b/>
          <w:bCs/>
          <w:sz w:val="44"/>
          <w:szCs w:val="44"/>
        </w:rPr>
      </w:pPr>
    </w:p>
    <w:p>
      <w:pPr>
        <w:jc w:val="left"/>
        <w:rPr>
          <w:rFonts w:ascii="Times New Roman" w:hAnsi="Times New Roman" w:eastAsia="楷体" w:cs="Times New Roman"/>
          <w:b/>
          <w:bCs/>
          <w:sz w:val="32"/>
          <w:szCs w:val="32"/>
        </w:rPr>
      </w:pPr>
    </w:p>
    <w:p>
      <w:pPr>
        <w:jc w:val="left"/>
        <w:rPr>
          <w:rFonts w:ascii="Times New Roman" w:hAnsi="Times New Roman" w:eastAsia="楷体" w:cs="Times New Roman"/>
          <w:b/>
          <w:bCs/>
          <w:sz w:val="32"/>
          <w:szCs w:val="32"/>
        </w:rPr>
      </w:pPr>
    </w:p>
    <w:p>
      <w:pPr>
        <w:jc w:val="left"/>
        <w:rPr>
          <w:rFonts w:ascii="Times New Roman" w:hAnsi="Times New Roman" w:eastAsia="楷体" w:cs="Times New Roman"/>
          <w:sz w:val="32"/>
          <w:szCs w:val="32"/>
        </w:rPr>
      </w:pPr>
    </w:p>
    <w:p>
      <w:pPr>
        <w:jc w:val="left"/>
        <w:rPr>
          <w:rFonts w:ascii="Times New Roman" w:hAnsi="Times New Roman" w:eastAsia="楷体" w:cs="Times New Roman"/>
          <w:sz w:val="32"/>
          <w:szCs w:val="32"/>
        </w:rPr>
      </w:pPr>
    </w:p>
    <w:p>
      <w:pPr>
        <w:jc w:val="left"/>
        <w:rPr>
          <w:rFonts w:ascii="Times New Roman" w:hAnsi="Times New Roman" w:eastAsia="楷体" w:cs="Times New Roman"/>
          <w:sz w:val="32"/>
          <w:szCs w:val="32"/>
        </w:rPr>
      </w:pPr>
    </w:p>
    <w:p>
      <w:pPr>
        <w:jc w:val="left"/>
        <w:rPr>
          <w:rFonts w:ascii="Times New Roman" w:hAnsi="Times New Roman" w:eastAsia="楷体" w:cs="Times New Roman"/>
          <w:sz w:val="32"/>
          <w:szCs w:val="32"/>
        </w:rPr>
      </w:pPr>
    </w:p>
    <w:p>
      <w:pPr>
        <w:jc w:val="center"/>
        <w:rPr>
          <w:rFonts w:ascii="Times New Roman" w:hAnsi="Times New Roman" w:eastAsia="楷体" w:cs="Times New Roman"/>
          <w:b/>
          <w:kern w:val="0"/>
          <w:sz w:val="36"/>
          <w:szCs w:val="36"/>
        </w:rPr>
      </w:pPr>
    </w:p>
    <w:p>
      <w:pPr>
        <w:jc w:val="center"/>
        <w:rPr>
          <w:rFonts w:ascii="Times New Roman" w:hAnsi="Times New Roman" w:eastAsia="楷体" w:cs="Times New Roman"/>
          <w:b/>
          <w:kern w:val="0"/>
          <w:sz w:val="36"/>
          <w:szCs w:val="36"/>
        </w:rPr>
      </w:pPr>
      <w:r>
        <w:rPr>
          <w:rFonts w:ascii="Times New Roman" w:hAnsi="Times New Roman" w:eastAsia="楷体" w:cs="Times New Roman"/>
          <w:b/>
          <w:kern w:val="0"/>
          <w:sz w:val="36"/>
          <w:szCs w:val="36"/>
        </w:rPr>
        <w:t>建设单位：黑龙江路原沥青混凝土有限公司</w:t>
      </w:r>
    </w:p>
    <w:p>
      <w:pPr>
        <w:jc w:val="center"/>
        <w:rPr>
          <w:rFonts w:ascii="Times New Roman" w:hAnsi="Times New Roman" w:eastAsia="楷体" w:cs="Times New Roman"/>
          <w:b/>
          <w:kern w:val="0"/>
          <w:sz w:val="36"/>
          <w:szCs w:val="36"/>
        </w:rPr>
      </w:pPr>
      <w:r>
        <w:rPr>
          <w:rFonts w:ascii="Times New Roman" w:hAnsi="Times New Roman" w:eastAsia="楷体" w:cs="Times New Roman"/>
          <w:b/>
          <w:kern w:val="0"/>
          <w:sz w:val="36"/>
          <w:szCs w:val="36"/>
        </w:rPr>
        <w:t>编制单位：黑龙江路原沥青混凝土有限公司</w:t>
      </w:r>
    </w:p>
    <w:p>
      <w:pPr>
        <w:widowControl/>
        <w:adjustRightInd w:val="0"/>
        <w:snapToGrid w:val="0"/>
        <w:spacing w:after="200"/>
        <w:jc w:val="center"/>
        <w:rPr>
          <w:rFonts w:ascii="Times New Roman" w:hAnsi="Times New Roman" w:eastAsia="楷体" w:cs="Times New Roman"/>
          <w:b/>
          <w:kern w:val="0"/>
          <w:sz w:val="36"/>
          <w:szCs w:val="36"/>
        </w:rPr>
      </w:pPr>
    </w:p>
    <w:p>
      <w:pPr>
        <w:widowControl/>
        <w:adjustRightInd w:val="0"/>
        <w:snapToGrid w:val="0"/>
        <w:spacing w:after="200"/>
        <w:jc w:val="center"/>
        <w:rPr>
          <w:rFonts w:ascii="Times New Roman" w:hAnsi="Times New Roman" w:eastAsia="楷体" w:cs="Times New Roman"/>
          <w:b/>
          <w:kern w:val="0"/>
          <w:sz w:val="36"/>
          <w:szCs w:val="36"/>
        </w:rPr>
      </w:pPr>
      <w:r>
        <w:rPr>
          <w:rFonts w:ascii="Times New Roman" w:hAnsi="Times New Roman" w:eastAsia="楷体" w:cs="Times New Roman"/>
          <w:b/>
          <w:kern w:val="0"/>
          <w:sz w:val="36"/>
          <w:szCs w:val="36"/>
        </w:rPr>
        <w:t>2023年11月</w:t>
      </w:r>
    </w:p>
    <w:p>
      <w:pPr>
        <w:jc w:val="center"/>
        <w:rPr>
          <w:rFonts w:ascii="Times New Roman" w:hAnsi="Times New Roman" w:eastAsia="楷体" w:cs="Times New Roman"/>
          <w:color w:val="FF0000"/>
          <w:sz w:val="32"/>
          <w:szCs w:val="32"/>
        </w:rPr>
      </w:pPr>
    </w:p>
    <w:p>
      <w:pPr>
        <w:widowControl/>
        <w:adjustRightInd w:val="0"/>
        <w:snapToGrid w:val="0"/>
        <w:spacing w:after="200" w:line="360" w:lineRule="auto"/>
        <w:jc w:val="left"/>
        <w:rPr>
          <w:rFonts w:ascii="Times New Roman" w:hAnsi="Times New Roman" w:eastAsia="宋体" w:cs="Times New Roman"/>
          <w:b/>
          <w:kern w:val="0"/>
          <w:sz w:val="28"/>
          <w:szCs w:val="28"/>
        </w:rPr>
      </w:pPr>
      <w:r>
        <w:rPr>
          <w:rFonts w:ascii="Times New Roman" w:hAnsi="Times New Roman" w:eastAsia="宋体" w:cs="Times New Roman"/>
          <w:b/>
          <w:kern w:val="0"/>
          <w:sz w:val="28"/>
          <w:szCs w:val="28"/>
        </w:rPr>
        <w:t>建设单位法人代表:</w:t>
      </w:r>
      <w:r>
        <w:rPr>
          <w:rFonts w:ascii="Times New Roman" w:hAnsi="Times New Roman" w:eastAsia="宋体" w:cs="Times New Roman"/>
          <w:b/>
          <w:kern w:val="0"/>
          <w:sz w:val="28"/>
          <w:szCs w:val="28"/>
        </w:rPr>
        <w:tab/>
      </w:r>
      <w:r>
        <w:rPr>
          <w:rFonts w:ascii="Times New Roman" w:hAnsi="Times New Roman" w:eastAsia="宋体" w:cs="Times New Roman"/>
          <w:b/>
          <w:kern w:val="0"/>
          <w:sz w:val="28"/>
          <w:szCs w:val="28"/>
        </w:rPr>
        <w:t xml:space="preserve">        （签字）</w:t>
      </w:r>
    </w:p>
    <w:p>
      <w:pPr>
        <w:widowControl/>
        <w:adjustRightInd w:val="0"/>
        <w:snapToGrid w:val="0"/>
        <w:spacing w:after="200" w:line="360" w:lineRule="auto"/>
        <w:jc w:val="left"/>
        <w:rPr>
          <w:rFonts w:ascii="Times New Roman" w:hAnsi="Times New Roman" w:eastAsia="宋体" w:cs="Times New Roman"/>
          <w:b/>
          <w:kern w:val="0"/>
          <w:sz w:val="28"/>
          <w:szCs w:val="28"/>
        </w:rPr>
      </w:pPr>
      <w:r>
        <w:rPr>
          <w:rFonts w:ascii="Times New Roman" w:hAnsi="Times New Roman" w:eastAsia="宋体" w:cs="Times New Roman"/>
          <w:b/>
          <w:kern w:val="0"/>
          <w:sz w:val="28"/>
          <w:szCs w:val="28"/>
        </w:rPr>
        <w:t>项 目 负 责 人:</w:t>
      </w:r>
    </w:p>
    <w:p>
      <w:pPr>
        <w:widowControl/>
        <w:adjustRightInd w:val="0"/>
        <w:snapToGrid w:val="0"/>
        <w:spacing w:after="200" w:line="360" w:lineRule="auto"/>
        <w:jc w:val="left"/>
        <w:rPr>
          <w:rFonts w:ascii="Times New Roman" w:hAnsi="Times New Roman" w:eastAsia="宋体" w:cs="Times New Roman"/>
          <w:b/>
          <w:kern w:val="0"/>
          <w:sz w:val="28"/>
          <w:szCs w:val="28"/>
        </w:rPr>
      </w:pPr>
      <w:r>
        <w:rPr>
          <w:rFonts w:ascii="Times New Roman" w:hAnsi="Times New Roman" w:eastAsia="宋体" w:cs="Times New Roman"/>
          <w:b/>
          <w:kern w:val="0"/>
          <w:sz w:val="28"/>
          <w:szCs w:val="28"/>
        </w:rPr>
        <w:t>填 表 人：</w:t>
      </w:r>
    </w:p>
    <w:p>
      <w:pPr>
        <w:jc w:val="left"/>
        <w:rPr>
          <w:rFonts w:ascii="Times New Roman" w:hAnsi="Times New Roman" w:cs="Times New Roman" w:eastAsiaTheme="majorEastAsia"/>
          <w:sz w:val="32"/>
          <w:szCs w:val="32"/>
        </w:rPr>
      </w:pPr>
    </w:p>
    <w:p>
      <w:pPr>
        <w:jc w:val="left"/>
        <w:rPr>
          <w:rFonts w:ascii="Times New Roman" w:hAnsi="Times New Roman" w:cs="Times New Roman" w:eastAsiaTheme="majorEastAsia"/>
          <w:sz w:val="32"/>
          <w:szCs w:val="32"/>
        </w:rPr>
      </w:pPr>
    </w:p>
    <w:p>
      <w:pPr>
        <w:jc w:val="left"/>
        <w:rPr>
          <w:rFonts w:ascii="Times New Roman" w:hAnsi="Times New Roman" w:cs="Times New Roman" w:eastAsiaTheme="majorEastAsia"/>
          <w:sz w:val="32"/>
          <w:szCs w:val="32"/>
        </w:rPr>
      </w:pPr>
    </w:p>
    <w:p>
      <w:pPr>
        <w:jc w:val="left"/>
        <w:rPr>
          <w:rFonts w:ascii="Times New Roman" w:hAnsi="Times New Roman" w:cs="Times New Roman" w:eastAsiaTheme="majorEastAsia"/>
          <w:sz w:val="32"/>
          <w:szCs w:val="32"/>
        </w:rPr>
      </w:pPr>
    </w:p>
    <w:p>
      <w:pPr>
        <w:pStyle w:val="2"/>
      </w:pPr>
    </w:p>
    <w:p>
      <w:pPr>
        <w:pStyle w:val="2"/>
      </w:pPr>
    </w:p>
    <w:p>
      <w:pPr>
        <w:jc w:val="left"/>
        <w:rPr>
          <w:rFonts w:ascii="Times New Roman" w:hAnsi="Times New Roman" w:cs="Times New Roman" w:eastAsiaTheme="majorEastAsia"/>
          <w:sz w:val="32"/>
          <w:szCs w:val="32"/>
        </w:rPr>
      </w:pPr>
    </w:p>
    <w:p>
      <w:pPr>
        <w:pStyle w:val="2"/>
      </w:pPr>
    </w:p>
    <w:p>
      <w:pPr>
        <w:pStyle w:val="2"/>
      </w:pPr>
    </w:p>
    <w:p>
      <w:pPr>
        <w:pStyle w:val="2"/>
      </w:pPr>
    </w:p>
    <w:p>
      <w:pPr>
        <w:pStyle w:val="2"/>
      </w:pPr>
    </w:p>
    <w:p>
      <w:pPr>
        <w:pStyle w:val="2"/>
      </w:pPr>
    </w:p>
    <w:p>
      <w:pPr>
        <w:jc w:val="left"/>
        <w:rPr>
          <w:rFonts w:ascii="Times New Roman" w:hAnsi="Times New Roman" w:cs="Times New Roman" w:eastAsiaTheme="majorEastAsia"/>
          <w:sz w:val="32"/>
          <w:szCs w:val="32"/>
        </w:rPr>
      </w:pPr>
    </w:p>
    <w:p>
      <w:pPr>
        <w:tabs>
          <w:tab w:val="left" w:pos="1281"/>
        </w:tabs>
        <w:spacing w:line="360" w:lineRule="auto"/>
        <w:ind w:left="843" w:hanging="843" w:hangingChars="300"/>
        <w:jc w:val="left"/>
        <w:rPr>
          <w:rFonts w:ascii="Times New Roman" w:hAnsi="Times New Roman" w:eastAsia="宋体" w:cs="Times New Roman"/>
          <w:b/>
          <w:bCs/>
          <w:sz w:val="28"/>
          <w:szCs w:val="28"/>
        </w:rPr>
      </w:pPr>
      <w:r>
        <w:rPr>
          <w:rFonts w:ascii="Times New Roman" w:hAnsi="Times New Roman" w:eastAsia="宋体" w:cs="Times New Roman"/>
          <w:b/>
          <w:bCs/>
          <w:sz w:val="28"/>
          <w:szCs w:val="28"/>
        </w:rPr>
        <w:t xml:space="preserve">建设单位：黑龙江路原沥青混凝土有限公司     </w:t>
      </w:r>
    </w:p>
    <w:p>
      <w:pPr>
        <w:spacing w:line="360" w:lineRule="auto"/>
        <w:ind w:left="1340" w:leftChars="638" w:firstLine="562"/>
        <w:outlineLvl w:val="0"/>
        <w:rPr>
          <w:rFonts w:ascii="Times New Roman" w:hAnsi="Times New Roman" w:cs="Times New Roman"/>
          <w:b/>
          <w:bCs/>
          <w:sz w:val="28"/>
          <w:szCs w:val="28"/>
        </w:rPr>
      </w:pPr>
      <w:bookmarkStart w:id="3" w:name="_Toc2767"/>
      <w:r>
        <w:rPr>
          <w:rFonts w:ascii="Times New Roman" w:hAnsi="Times New Roman" w:cs="Times New Roman"/>
          <w:b/>
          <w:bCs/>
          <w:sz w:val="28"/>
          <w:szCs w:val="28"/>
        </w:rPr>
        <w:t>（盖章）</w:t>
      </w:r>
      <w:bookmarkEnd w:id="3"/>
    </w:p>
    <w:p>
      <w:pPr>
        <w:rPr>
          <w:rFonts w:ascii="Times New Roman" w:hAnsi="Times New Roman" w:cs="Times New Roman"/>
        </w:rPr>
      </w:pPr>
      <w:r>
        <w:rPr>
          <w:rFonts w:ascii="Times New Roman" w:hAnsi="Times New Roman" w:cs="Times New Roman"/>
          <w:b/>
          <w:bCs/>
          <w:sz w:val="28"/>
          <w:szCs w:val="28"/>
        </w:rPr>
        <w:t>编制单位：</w:t>
      </w:r>
    </w:p>
    <w:p>
      <w:pPr>
        <w:tabs>
          <w:tab w:val="left" w:pos="1281"/>
        </w:tabs>
        <w:spacing w:line="360" w:lineRule="auto"/>
        <w:ind w:left="843" w:hanging="843" w:hangingChars="300"/>
        <w:jc w:val="left"/>
        <w:rPr>
          <w:rFonts w:ascii="Times New Roman" w:hAnsi="Times New Roman" w:eastAsia="宋体" w:cs="Times New Roman"/>
          <w:b/>
          <w:bCs/>
          <w:sz w:val="28"/>
          <w:szCs w:val="28"/>
        </w:rPr>
      </w:pPr>
      <w:r>
        <w:rPr>
          <w:rFonts w:ascii="Times New Roman" w:hAnsi="Times New Roman" w:eastAsia="宋体" w:cs="Times New Roman"/>
          <w:b/>
          <w:bCs/>
          <w:sz w:val="28"/>
          <w:szCs w:val="28"/>
        </w:rPr>
        <w:t xml:space="preserve">               </w:t>
      </w:r>
    </w:p>
    <w:p>
      <w:pPr>
        <w:tabs>
          <w:tab w:val="left" w:pos="1281"/>
        </w:tabs>
        <w:spacing w:line="360" w:lineRule="auto"/>
        <w:ind w:left="843" w:hanging="843" w:hangingChars="300"/>
        <w:jc w:val="left"/>
        <w:rPr>
          <w:rFonts w:ascii="Times New Roman" w:hAnsi="Times New Roman" w:eastAsia="宋体" w:cs="Times New Roman"/>
          <w:b/>
          <w:bCs/>
          <w:sz w:val="28"/>
          <w:szCs w:val="28"/>
        </w:rPr>
      </w:pPr>
      <w:r>
        <w:rPr>
          <w:rFonts w:ascii="Times New Roman" w:hAnsi="Times New Roman" w:eastAsia="宋体" w:cs="Times New Roman"/>
          <w:b/>
          <w:bCs/>
          <w:sz w:val="28"/>
          <w:szCs w:val="28"/>
        </w:rPr>
        <w:t xml:space="preserve">电    话：18604514846                      </w:t>
      </w:r>
    </w:p>
    <w:p>
      <w:pPr>
        <w:tabs>
          <w:tab w:val="left" w:pos="1281"/>
        </w:tabs>
        <w:spacing w:line="360" w:lineRule="auto"/>
        <w:ind w:left="843" w:hanging="843" w:hangingChars="300"/>
        <w:jc w:val="left"/>
        <w:rPr>
          <w:rFonts w:ascii="Times New Roman" w:hAnsi="Times New Roman" w:eastAsia="宋体" w:cs="Times New Roman"/>
          <w:b/>
          <w:bCs/>
          <w:sz w:val="28"/>
          <w:szCs w:val="28"/>
        </w:rPr>
      </w:pPr>
      <w:r>
        <w:rPr>
          <w:rFonts w:ascii="Times New Roman" w:hAnsi="Times New Roman" w:eastAsia="宋体" w:cs="Times New Roman"/>
          <w:b/>
          <w:bCs/>
          <w:sz w:val="28"/>
          <w:szCs w:val="28"/>
        </w:rPr>
        <w:t xml:space="preserve">邮    编：163000                     </w:t>
      </w:r>
    </w:p>
    <w:p>
      <w:pPr>
        <w:tabs>
          <w:tab w:val="left" w:pos="1281"/>
        </w:tabs>
        <w:spacing w:line="360" w:lineRule="auto"/>
        <w:ind w:left="843" w:hanging="843" w:hangingChars="300"/>
        <w:jc w:val="left"/>
        <w:rPr>
          <w:rFonts w:ascii="Times New Roman" w:hAnsi="Times New Roman" w:cs="Times New Roman" w:eastAsiaTheme="majorEastAsia"/>
          <w:color w:val="FF0000"/>
          <w:sz w:val="32"/>
          <w:szCs w:val="32"/>
        </w:rPr>
      </w:pPr>
      <w:r>
        <w:rPr>
          <w:rFonts w:ascii="Times New Roman" w:hAnsi="Times New Roman" w:eastAsia="宋体" w:cs="Times New Roman"/>
          <w:b/>
          <w:bCs/>
          <w:sz w:val="28"/>
          <w:szCs w:val="28"/>
        </w:rPr>
        <w:t>地    址：大庆市龙凤区光明产业园区内外环东路北侧，规划三号街东侧</w:t>
      </w:r>
    </w:p>
    <w:p>
      <w:pPr>
        <w:rPr>
          <w:rFonts w:ascii="Times New Roman" w:hAnsi="Times New Roman" w:eastAsia="方正仿宋_GB2312" w:cs="Times New Roman"/>
          <w:b/>
          <w:color w:val="FF0000"/>
          <w:szCs w:val="21"/>
        </w:rPr>
      </w:pPr>
    </w:p>
    <w:p>
      <w:pPr>
        <w:pStyle w:val="2"/>
      </w:pPr>
    </w:p>
    <w:p>
      <w:pPr>
        <w:pStyle w:val="25"/>
        <w:spacing w:line="700" w:lineRule="exact"/>
        <w:rPr>
          <w:rFonts w:hAnsi="Times New Roman" w:cs="Times New Roman"/>
          <w:color w:val="FF0000"/>
        </w:rPr>
        <w:sectPr>
          <w:pgSz w:w="11906" w:h="16838"/>
          <w:pgMar w:top="1417" w:right="1417" w:bottom="1417" w:left="1417" w:header="851" w:footer="992" w:gutter="0"/>
          <w:pgBorders>
            <w:top w:val="none" w:sz="0" w:space="0"/>
            <w:left w:val="none" w:sz="0" w:space="0"/>
            <w:bottom w:val="none" w:sz="0" w:space="0"/>
            <w:right w:val="none" w:sz="0" w:space="0"/>
          </w:pgBorders>
          <w:cols w:space="425" w:num="1"/>
          <w:docGrid w:type="lines" w:linePitch="312" w:charSpace="0"/>
        </w:sectPr>
      </w:pPr>
    </w:p>
    <w:p>
      <w:pPr>
        <w:outlineLvl w:val="0"/>
        <w:rPr>
          <w:rFonts w:ascii="Times New Roman" w:hAnsi="Times New Roman" w:eastAsia="黑体" w:cs="Times New Roman"/>
          <w:bCs/>
          <w:sz w:val="24"/>
        </w:rPr>
      </w:pPr>
      <w:bookmarkStart w:id="4" w:name="_Toc7241"/>
      <w:r>
        <w:rPr>
          <w:rFonts w:ascii="Times New Roman" w:hAnsi="Times New Roman" w:eastAsia="黑体" w:cs="Times New Roman"/>
          <w:bCs/>
          <w:sz w:val="24"/>
        </w:rPr>
        <w:t>表一</w:t>
      </w:r>
      <w:bookmarkEnd w:id="4"/>
    </w:p>
    <w:tbl>
      <w:tblPr>
        <w:tblStyle w:val="18"/>
        <w:tblW w:w="4996"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123"/>
        <w:gridCol w:w="2161"/>
        <w:gridCol w:w="2005"/>
        <w:gridCol w:w="1112"/>
        <w:gridCol w:w="794"/>
        <w:gridCol w:w="108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14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建设项目名称</w:t>
            </w:r>
          </w:p>
        </w:tc>
        <w:tc>
          <w:tcPr>
            <w:tcW w:w="3856" w:type="pct"/>
            <w:gridSpan w:val="5"/>
            <w:tcBorders>
              <w:tl2br w:val="nil"/>
              <w:tr2bl w:val="nil"/>
            </w:tcBorders>
            <w:vAlign w:val="center"/>
          </w:tcPr>
          <w:p>
            <w:pPr>
              <w:spacing w:line="320" w:lineRule="exact"/>
              <w:rPr>
                <w:rFonts w:ascii="Times New Roman" w:hAnsi="Times New Roman" w:eastAsia="宋体" w:cs="Times New Roman"/>
                <w:szCs w:val="21"/>
              </w:rPr>
            </w:pPr>
            <w:r>
              <w:rPr>
                <w:rFonts w:ascii="Times New Roman" w:hAnsi="Times New Roman" w:eastAsia="宋体" w:cs="Times New Roman"/>
                <w:szCs w:val="21"/>
              </w:rPr>
              <w:t>黑龙江路原环保型沥青（彩色）混凝土拌合站建设项目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14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建设单位名称</w:t>
            </w:r>
          </w:p>
        </w:tc>
        <w:tc>
          <w:tcPr>
            <w:tcW w:w="3856" w:type="pct"/>
            <w:gridSpan w:val="5"/>
            <w:tcBorders>
              <w:tl2br w:val="nil"/>
              <w:tr2bl w:val="nil"/>
            </w:tcBorders>
            <w:vAlign w:val="center"/>
          </w:tcPr>
          <w:p>
            <w:pPr>
              <w:spacing w:line="320" w:lineRule="exact"/>
              <w:rPr>
                <w:rFonts w:ascii="Times New Roman" w:hAnsi="Times New Roman" w:eastAsia="宋体" w:cs="Times New Roman"/>
                <w:szCs w:val="21"/>
              </w:rPr>
            </w:pPr>
            <w:r>
              <w:rPr>
                <w:rFonts w:ascii="Times New Roman" w:hAnsi="Times New Roman" w:eastAsia="宋体" w:cs="Times New Roman"/>
                <w:szCs w:val="21"/>
              </w:rPr>
              <w:t>黑龙江路原沥青混凝土有限公司</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14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建设项目性质</w:t>
            </w:r>
          </w:p>
        </w:tc>
        <w:tc>
          <w:tcPr>
            <w:tcW w:w="3856" w:type="pct"/>
            <w:gridSpan w:val="5"/>
            <w:tcBorders>
              <w:tl2br w:val="nil"/>
              <w:tr2bl w:val="nil"/>
            </w:tcBorders>
            <w:vAlign w:val="center"/>
          </w:tcPr>
          <w:p>
            <w:pPr>
              <w:spacing w:line="320" w:lineRule="exact"/>
              <w:rPr>
                <w:rFonts w:ascii="Times New Roman" w:hAnsi="Times New Roman" w:eastAsia="宋体" w:cs="Times New Roman"/>
                <w:szCs w:val="21"/>
              </w:rPr>
            </w:pPr>
            <w:r>
              <w:rPr>
                <w:rFonts w:ascii="Times New Roman" w:hAnsi="Times New Roman" w:eastAsia="宋体" w:cs="Times New Roman"/>
                <w:szCs w:val="21"/>
              </w:rPr>
              <w:t>新建</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114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建设地点</w:t>
            </w:r>
          </w:p>
        </w:tc>
        <w:tc>
          <w:tcPr>
            <w:tcW w:w="3856" w:type="pct"/>
            <w:gridSpan w:val="5"/>
            <w:tcBorders>
              <w:tl2br w:val="nil"/>
              <w:tr2bl w:val="nil"/>
            </w:tcBorders>
            <w:vAlign w:val="center"/>
          </w:tcPr>
          <w:p>
            <w:pPr>
              <w:spacing w:line="320" w:lineRule="exact"/>
              <w:rPr>
                <w:rFonts w:ascii="Times New Roman" w:hAnsi="Times New Roman" w:eastAsia="宋体" w:cs="Times New Roman"/>
                <w:szCs w:val="21"/>
              </w:rPr>
            </w:pPr>
            <w:r>
              <w:rPr>
                <w:rFonts w:ascii="Times New Roman" w:hAnsi="Times New Roman" w:eastAsia="宋体" w:cs="Times New Roman"/>
                <w:szCs w:val="21"/>
              </w:rPr>
              <w:t>大庆市龙凤区光明产业园区内外环东路北侧，规划路三号街东侧</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114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主要产品名称</w:t>
            </w:r>
          </w:p>
        </w:tc>
        <w:tc>
          <w:tcPr>
            <w:tcW w:w="3856" w:type="pct"/>
            <w:gridSpan w:val="5"/>
            <w:tcBorders>
              <w:tl2br w:val="nil"/>
              <w:tr2bl w:val="nil"/>
            </w:tcBorders>
            <w:vAlign w:val="center"/>
          </w:tcPr>
          <w:p>
            <w:pPr>
              <w:spacing w:line="320" w:lineRule="exact"/>
              <w:rPr>
                <w:rFonts w:ascii="Times New Roman" w:hAnsi="Times New Roman" w:eastAsia="宋体" w:cs="Times New Roman"/>
                <w:szCs w:val="21"/>
              </w:rPr>
            </w:pPr>
            <w:r>
              <w:rPr>
                <w:rFonts w:ascii="Times New Roman" w:hAnsi="Times New Roman" w:eastAsia="宋体" w:cs="Times New Roman"/>
                <w:szCs w:val="21"/>
              </w:rPr>
              <w:t>普通沥青混凝土，彩色沥青混凝土。</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14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设计生产能力</w:t>
            </w:r>
          </w:p>
        </w:tc>
        <w:tc>
          <w:tcPr>
            <w:tcW w:w="3856" w:type="pct"/>
            <w:gridSpan w:val="5"/>
            <w:tcBorders>
              <w:tl2br w:val="nil"/>
              <w:tr2bl w:val="nil"/>
            </w:tcBorders>
            <w:vAlign w:val="center"/>
          </w:tcPr>
          <w:p>
            <w:pPr>
              <w:spacing w:line="320" w:lineRule="exact"/>
              <w:rPr>
                <w:rFonts w:ascii="Times New Roman" w:hAnsi="Times New Roman" w:eastAsia="宋体" w:cs="Times New Roman"/>
                <w:szCs w:val="21"/>
              </w:rPr>
            </w:pPr>
            <w:r>
              <w:rPr>
                <w:rFonts w:ascii="Times New Roman" w:hAnsi="Times New Roman" w:eastAsia="宋体" w:cs="Times New Roman"/>
                <w:szCs w:val="21"/>
              </w:rPr>
              <w:t>年产35万m</w:t>
            </w:r>
            <w:r>
              <w:rPr>
                <w:rFonts w:ascii="Times New Roman" w:hAnsi="Times New Roman" w:eastAsia="宋体" w:cs="Times New Roman"/>
                <w:szCs w:val="21"/>
                <w:vertAlign w:val="superscript"/>
              </w:rPr>
              <w:t>3</w:t>
            </w:r>
            <w:r>
              <w:rPr>
                <w:rFonts w:ascii="Times New Roman" w:hAnsi="Times New Roman" w:eastAsia="宋体" w:cs="Times New Roman"/>
                <w:szCs w:val="21"/>
              </w:rPr>
              <w:t>沥青混凝土，其中普通沥青混凝土30万m</w:t>
            </w:r>
            <w:r>
              <w:rPr>
                <w:rFonts w:ascii="Times New Roman" w:hAnsi="Times New Roman" w:eastAsia="宋体" w:cs="Times New Roman"/>
                <w:szCs w:val="21"/>
                <w:vertAlign w:val="superscript"/>
              </w:rPr>
              <w:t>3</w:t>
            </w:r>
            <w:r>
              <w:rPr>
                <w:rFonts w:ascii="Times New Roman" w:hAnsi="Times New Roman" w:eastAsia="宋体" w:cs="Times New Roman"/>
                <w:szCs w:val="21"/>
              </w:rPr>
              <w:t>，彩色沥青混凝土5万m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14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实际生产能力</w:t>
            </w:r>
          </w:p>
        </w:tc>
        <w:tc>
          <w:tcPr>
            <w:tcW w:w="3856" w:type="pct"/>
            <w:gridSpan w:val="5"/>
            <w:tcBorders>
              <w:tl2br w:val="nil"/>
              <w:tr2bl w:val="nil"/>
            </w:tcBorders>
            <w:vAlign w:val="center"/>
          </w:tcPr>
          <w:p>
            <w:pPr>
              <w:spacing w:line="320" w:lineRule="exact"/>
              <w:rPr>
                <w:rFonts w:ascii="Times New Roman" w:hAnsi="Times New Roman" w:eastAsia="宋体" w:cs="Times New Roman"/>
                <w:szCs w:val="21"/>
              </w:rPr>
            </w:pPr>
            <w:r>
              <w:rPr>
                <w:rFonts w:ascii="Times New Roman" w:hAnsi="Times New Roman" w:eastAsia="宋体" w:cs="Times New Roman"/>
                <w:szCs w:val="21"/>
              </w:rPr>
              <w:t>年产35万m</w:t>
            </w:r>
            <w:r>
              <w:rPr>
                <w:rFonts w:ascii="Times New Roman" w:hAnsi="Times New Roman" w:eastAsia="宋体" w:cs="Times New Roman"/>
                <w:szCs w:val="21"/>
                <w:vertAlign w:val="superscript"/>
              </w:rPr>
              <w:t>3</w:t>
            </w:r>
            <w:r>
              <w:rPr>
                <w:rFonts w:ascii="Times New Roman" w:hAnsi="Times New Roman" w:eastAsia="宋体" w:cs="Times New Roman"/>
                <w:szCs w:val="21"/>
              </w:rPr>
              <w:t>沥青混凝土，其中普通沥青混凝土30万m</w:t>
            </w:r>
            <w:r>
              <w:rPr>
                <w:rFonts w:ascii="Times New Roman" w:hAnsi="Times New Roman" w:eastAsia="宋体" w:cs="Times New Roman"/>
                <w:szCs w:val="21"/>
                <w:vertAlign w:val="superscript"/>
              </w:rPr>
              <w:t>3</w:t>
            </w:r>
            <w:r>
              <w:rPr>
                <w:rFonts w:ascii="Times New Roman" w:hAnsi="Times New Roman" w:eastAsia="宋体" w:cs="Times New Roman"/>
                <w:szCs w:val="21"/>
              </w:rPr>
              <w:t>，彩色沥青混凝土5万m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23" w:hRule="atLeast"/>
          <w:jc w:val="center"/>
        </w:trPr>
        <w:tc>
          <w:tcPr>
            <w:tcW w:w="114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建设项目环评时间</w:t>
            </w:r>
          </w:p>
        </w:tc>
        <w:tc>
          <w:tcPr>
            <w:tcW w:w="116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2020年8月</w:t>
            </w:r>
          </w:p>
        </w:tc>
        <w:tc>
          <w:tcPr>
            <w:tcW w:w="1080"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开工建设时间</w:t>
            </w:r>
          </w:p>
        </w:tc>
        <w:tc>
          <w:tcPr>
            <w:tcW w:w="1612" w:type="pct"/>
            <w:gridSpan w:val="3"/>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2021年4月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18" w:hRule="atLeast"/>
          <w:jc w:val="center"/>
        </w:trPr>
        <w:tc>
          <w:tcPr>
            <w:tcW w:w="114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调试时间</w:t>
            </w:r>
          </w:p>
        </w:tc>
        <w:tc>
          <w:tcPr>
            <w:tcW w:w="116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2023年3月</w:t>
            </w:r>
          </w:p>
        </w:tc>
        <w:tc>
          <w:tcPr>
            <w:tcW w:w="1080"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验收现场</w:t>
            </w:r>
          </w:p>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监测时间</w:t>
            </w:r>
          </w:p>
        </w:tc>
        <w:tc>
          <w:tcPr>
            <w:tcW w:w="1612" w:type="pct"/>
            <w:gridSpan w:val="3"/>
            <w:tcBorders>
              <w:tl2br w:val="nil"/>
              <w:tr2bl w:val="nil"/>
            </w:tcBorders>
            <w:vAlign w:val="center"/>
          </w:tcPr>
          <w:p>
            <w:pPr>
              <w:spacing w:line="320" w:lineRule="exact"/>
              <w:jc w:val="center"/>
              <w:rPr>
                <w:rFonts w:ascii="Times New Roman" w:hAnsi="Times New Roman" w:eastAsia="宋体" w:cs="Times New Roman"/>
                <w:szCs w:val="21"/>
                <w:highlight w:val="yellow"/>
              </w:rPr>
            </w:pPr>
            <w:r>
              <w:rPr>
                <w:rFonts w:ascii="Times New Roman" w:hAnsi="Times New Roman" w:eastAsia="宋体" w:cs="Times New Roman"/>
                <w:szCs w:val="21"/>
              </w:rPr>
              <w:t>2023年6月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114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环评报告表</w:t>
            </w:r>
          </w:p>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审批部门</w:t>
            </w:r>
          </w:p>
        </w:tc>
        <w:tc>
          <w:tcPr>
            <w:tcW w:w="116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大庆市龙凤区环境保护局</w:t>
            </w:r>
          </w:p>
        </w:tc>
        <w:tc>
          <w:tcPr>
            <w:tcW w:w="1080"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环评报告表</w:t>
            </w:r>
          </w:p>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编制单位</w:t>
            </w:r>
          </w:p>
        </w:tc>
        <w:tc>
          <w:tcPr>
            <w:tcW w:w="1612" w:type="pct"/>
            <w:gridSpan w:val="3"/>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cs="Times New Roman"/>
                <w:szCs w:val="21"/>
                <w:lang w:val="zh-CN"/>
              </w:rPr>
              <w:t>兴建安环生态环境有限公司</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47" w:hRule="atLeast"/>
          <w:jc w:val="center"/>
        </w:trPr>
        <w:tc>
          <w:tcPr>
            <w:tcW w:w="114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环保设施</w:t>
            </w:r>
          </w:p>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设计单位</w:t>
            </w:r>
          </w:p>
        </w:tc>
        <w:tc>
          <w:tcPr>
            <w:tcW w:w="116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黑龙江路原沥青混凝土有限公司</w:t>
            </w:r>
          </w:p>
        </w:tc>
        <w:tc>
          <w:tcPr>
            <w:tcW w:w="1080"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环保设施</w:t>
            </w:r>
          </w:p>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施工单位</w:t>
            </w:r>
          </w:p>
        </w:tc>
        <w:tc>
          <w:tcPr>
            <w:tcW w:w="1612" w:type="pct"/>
            <w:gridSpan w:val="3"/>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黑龙江路原沥青混凝土有限公司</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14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投资总概算（万元）</w:t>
            </w:r>
          </w:p>
        </w:tc>
        <w:tc>
          <w:tcPr>
            <w:tcW w:w="116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12000</w:t>
            </w:r>
          </w:p>
        </w:tc>
        <w:tc>
          <w:tcPr>
            <w:tcW w:w="1080"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环保投资总概算（万元）</w:t>
            </w:r>
          </w:p>
        </w:tc>
        <w:tc>
          <w:tcPr>
            <w:tcW w:w="599"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42</w:t>
            </w:r>
          </w:p>
        </w:tc>
        <w:tc>
          <w:tcPr>
            <w:tcW w:w="428"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比例</w:t>
            </w:r>
          </w:p>
        </w:tc>
        <w:tc>
          <w:tcPr>
            <w:tcW w:w="585"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0.35%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14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实际总概算（万元）</w:t>
            </w:r>
          </w:p>
        </w:tc>
        <w:tc>
          <w:tcPr>
            <w:tcW w:w="116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12000</w:t>
            </w:r>
          </w:p>
        </w:tc>
        <w:tc>
          <w:tcPr>
            <w:tcW w:w="1080" w:type="pct"/>
            <w:tcBorders>
              <w:tl2br w:val="nil"/>
              <w:tr2bl w:val="nil"/>
            </w:tcBorders>
            <w:vAlign w:val="center"/>
          </w:tcPr>
          <w:p>
            <w:pPr>
              <w:spacing w:line="320" w:lineRule="exact"/>
              <w:rPr>
                <w:rFonts w:ascii="Times New Roman" w:hAnsi="Times New Roman" w:eastAsia="宋体" w:cs="Times New Roman"/>
                <w:szCs w:val="21"/>
              </w:rPr>
            </w:pPr>
            <w:r>
              <w:rPr>
                <w:rFonts w:ascii="Times New Roman" w:hAnsi="Times New Roman" w:eastAsia="宋体" w:cs="Times New Roman"/>
                <w:szCs w:val="21"/>
              </w:rPr>
              <w:t>环保投资（万元）</w:t>
            </w:r>
          </w:p>
        </w:tc>
        <w:tc>
          <w:tcPr>
            <w:tcW w:w="599"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59</w:t>
            </w:r>
          </w:p>
        </w:tc>
        <w:tc>
          <w:tcPr>
            <w:tcW w:w="428"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比例</w:t>
            </w:r>
          </w:p>
        </w:tc>
        <w:tc>
          <w:tcPr>
            <w:tcW w:w="585"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0.49%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144" w:type="pct"/>
            <w:tcBorders>
              <w:tl2br w:val="nil"/>
              <w:tr2bl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验收监测依据</w:t>
            </w:r>
          </w:p>
        </w:tc>
        <w:tc>
          <w:tcPr>
            <w:tcW w:w="3856" w:type="pct"/>
            <w:gridSpan w:val="5"/>
            <w:tcBorders>
              <w:tl2br w:val="nil"/>
              <w:tr2bl w:val="nil"/>
            </w:tcBorders>
            <w:vAlign w:val="center"/>
          </w:tcPr>
          <w:p>
            <w:pPr>
              <w:pStyle w:val="30"/>
              <w:tabs>
                <w:tab w:val="left" w:pos="2040"/>
              </w:tabs>
              <w:spacing w:line="500" w:lineRule="exact"/>
              <w:ind w:left="0" w:firstLine="0"/>
              <w:jc w:val="left"/>
              <w:rPr>
                <w:rFonts w:ascii="Times New Roman" w:hAnsi="Times New Roman" w:cs="Times New Roman"/>
                <w:szCs w:val="21"/>
                <w:lang w:val="en-US" w:bidi="ar-SA"/>
              </w:rPr>
            </w:pPr>
            <w:r>
              <w:rPr>
                <w:rFonts w:ascii="Times New Roman" w:hAnsi="Times New Roman" w:cs="Times New Roman"/>
                <w:szCs w:val="21"/>
                <w:lang w:val="en-US" w:bidi="ar-SA"/>
              </w:rPr>
              <w:t>1.《建设项目环境保护管理条例》（国务院令第682号，2017.7.16）；</w:t>
            </w:r>
          </w:p>
          <w:p>
            <w:pPr>
              <w:pStyle w:val="30"/>
              <w:tabs>
                <w:tab w:val="left" w:pos="2040"/>
              </w:tabs>
              <w:spacing w:line="500" w:lineRule="exact"/>
              <w:ind w:left="0" w:firstLine="0"/>
              <w:jc w:val="left"/>
              <w:rPr>
                <w:rFonts w:ascii="Times New Roman" w:hAnsi="Times New Roman" w:cs="Times New Roman"/>
                <w:szCs w:val="21"/>
                <w:lang w:val="en-US" w:bidi="ar-SA"/>
              </w:rPr>
            </w:pPr>
            <w:r>
              <w:rPr>
                <w:rFonts w:ascii="Times New Roman" w:hAnsi="Times New Roman" w:cs="Times New Roman"/>
                <w:szCs w:val="21"/>
                <w:lang w:val="en-US" w:bidi="ar-SA"/>
              </w:rPr>
              <w:t>2.《建设项目竣工环境保护验收暂行办法》（国环规环评[2017] 4号，环境保护部，2017.11.22）；</w:t>
            </w:r>
          </w:p>
          <w:p>
            <w:pPr>
              <w:pStyle w:val="30"/>
              <w:tabs>
                <w:tab w:val="left" w:pos="2040"/>
              </w:tabs>
              <w:spacing w:line="500" w:lineRule="exact"/>
              <w:ind w:left="0" w:firstLine="0"/>
              <w:jc w:val="left"/>
              <w:rPr>
                <w:rFonts w:ascii="Times New Roman" w:hAnsi="Times New Roman" w:cs="Times New Roman"/>
                <w:szCs w:val="21"/>
                <w:lang w:val="en-US" w:bidi="ar-SA"/>
              </w:rPr>
            </w:pPr>
            <w:r>
              <w:rPr>
                <w:rFonts w:ascii="Times New Roman" w:hAnsi="Times New Roman" w:cs="Times New Roman"/>
                <w:szCs w:val="21"/>
                <w:lang w:val="en-US" w:bidi="ar-SA"/>
              </w:rPr>
              <w:t>3.《建设项目竣工环境保护验收技术指南 污染影响类》（生态环境部公告 2018年 第9号，2018.5.15）；</w:t>
            </w:r>
          </w:p>
          <w:p>
            <w:pPr>
              <w:pStyle w:val="30"/>
              <w:tabs>
                <w:tab w:val="left" w:pos="2040"/>
              </w:tabs>
              <w:spacing w:line="500" w:lineRule="exact"/>
              <w:ind w:left="0" w:firstLine="0"/>
              <w:jc w:val="left"/>
              <w:rPr>
                <w:rFonts w:ascii="Times New Roman" w:hAnsi="Times New Roman" w:cs="Times New Roman"/>
                <w:szCs w:val="21"/>
                <w:lang w:val="en-US" w:bidi="ar-SA"/>
              </w:rPr>
            </w:pPr>
            <w:r>
              <w:rPr>
                <w:rFonts w:ascii="Times New Roman" w:hAnsi="Times New Roman" w:cs="Times New Roman"/>
                <w:szCs w:val="21"/>
                <w:lang w:val="en-US" w:bidi="ar-SA"/>
              </w:rPr>
              <w:t>4.《黑龙江省环境保护厅关于建设项目环境保护设施验收的工作指引（试行）》（黑龙江省环境保护厅，环保厅函[2018]284号，2018.8.23）；</w:t>
            </w:r>
          </w:p>
          <w:p>
            <w:pPr>
              <w:pStyle w:val="30"/>
              <w:tabs>
                <w:tab w:val="left" w:pos="2040"/>
              </w:tabs>
              <w:spacing w:line="500" w:lineRule="exact"/>
              <w:ind w:left="0" w:firstLine="0"/>
              <w:jc w:val="left"/>
              <w:rPr>
                <w:rFonts w:ascii="Times New Roman" w:hAnsi="Times New Roman" w:cs="Times New Roman"/>
                <w:szCs w:val="21"/>
                <w:lang w:val="en-US" w:bidi="ar-SA"/>
              </w:rPr>
            </w:pPr>
            <w:r>
              <w:rPr>
                <w:rFonts w:ascii="Times New Roman" w:hAnsi="Times New Roman" w:cs="Times New Roman"/>
                <w:szCs w:val="21"/>
                <w:lang w:val="en-US" w:bidi="ar-SA"/>
              </w:rPr>
              <w:t>5.关于印发《污染影响类建设项目重大变动清单（试行）》的通知（环办环评函〔2020〕688号）；</w:t>
            </w:r>
          </w:p>
          <w:p>
            <w:pPr>
              <w:pStyle w:val="30"/>
              <w:tabs>
                <w:tab w:val="left" w:pos="2040"/>
              </w:tabs>
              <w:spacing w:line="500" w:lineRule="exact"/>
              <w:ind w:left="0" w:firstLine="0"/>
              <w:jc w:val="left"/>
              <w:rPr>
                <w:rFonts w:ascii="Times New Roman" w:hAnsi="Times New Roman" w:cs="Times New Roman"/>
                <w:szCs w:val="21"/>
                <w:lang w:val="en-US" w:bidi="ar-SA"/>
              </w:rPr>
            </w:pPr>
            <w:r>
              <w:rPr>
                <w:rFonts w:ascii="Times New Roman" w:hAnsi="Times New Roman" w:cs="Times New Roman"/>
                <w:szCs w:val="21"/>
                <w:lang w:val="en-US" w:bidi="ar-SA"/>
              </w:rPr>
              <w:t>6.《黑龙江路原环保型沥青（彩色）混凝土拌合站建设项目环境影响报告表》 （兴建安环技术咨询有限公司，2020.08）；</w:t>
            </w:r>
          </w:p>
          <w:p>
            <w:pPr>
              <w:pStyle w:val="30"/>
              <w:tabs>
                <w:tab w:val="left" w:pos="2040"/>
              </w:tabs>
              <w:spacing w:line="500" w:lineRule="exact"/>
              <w:ind w:left="0" w:firstLine="0"/>
              <w:jc w:val="left"/>
              <w:rPr>
                <w:rFonts w:ascii="Times New Roman" w:hAnsi="Times New Roman" w:cs="Times New Roman"/>
                <w:szCs w:val="21"/>
                <w:lang w:val="en-US" w:bidi="ar-SA"/>
              </w:rPr>
            </w:pPr>
            <w:r>
              <w:rPr>
                <w:rFonts w:ascii="Times New Roman" w:hAnsi="Times New Roman" w:cs="Times New Roman"/>
                <w:szCs w:val="21"/>
                <w:lang w:val="en-US" w:bidi="ar-SA"/>
              </w:rPr>
              <w:t>7.《中华人民共和国固体废物污染环境防治法》（中华人民共和国主席令[2015]第 23 号，2015 年 4 月 24 日修正）；</w:t>
            </w:r>
          </w:p>
          <w:p>
            <w:pPr>
              <w:pStyle w:val="30"/>
              <w:tabs>
                <w:tab w:val="left" w:pos="2040"/>
              </w:tabs>
              <w:spacing w:line="500" w:lineRule="exact"/>
              <w:ind w:left="0" w:firstLine="0"/>
              <w:jc w:val="left"/>
              <w:rPr>
                <w:rFonts w:ascii="Times New Roman" w:hAnsi="Times New Roman" w:cs="Times New Roman"/>
                <w:color w:val="FF0000"/>
                <w:szCs w:val="21"/>
                <w:lang w:val="en-US"/>
              </w:rPr>
            </w:pPr>
            <w:r>
              <w:rPr>
                <w:rFonts w:ascii="Times New Roman" w:hAnsi="Times New Roman" w:cs="Times New Roman"/>
                <w:szCs w:val="21"/>
                <w:lang w:val="en-US" w:bidi="ar-SA"/>
              </w:rPr>
              <w:t>8.《关于黑龙江路原环保型沥青（彩色）混凝土拌合站建设项目环境影响报告表的批复》</w:t>
            </w:r>
            <w:r>
              <w:rPr>
                <w:rFonts w:ascii="Times New Roman" w:hAnsi="Times New Roman" w:cs="Times New Roman"/>
                <w:lang w:val="en-US"/>
              </w:rPr>
              <w:t>龙环建审[2020]20号。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144" w:type="pct"/>
            <w:tcBorders>
              <w:tl2br w:val="nil"/>
              <w:tr2bl w:val="nil"/>
            </w:tcBorders>
            <w:vAlign w:val="center"/>
          </w:tcPr>
          <w:p>
            <w:pPr>
              <w:spacing w:line="320" w:lineRule="exact"/>
              <w:rPr>
                <w:rFonts w:ascii="Times New Roman" w:hAnsi="Times New Roman" w:eastAsia="宋体" w:cs="Times New Roman"/>
                <w:szCs w:val="21"/>
              </w:rPr>
            </w:pPr>
            <w:r>
              <w:rPr>
                <w:rFonts w:ascii="Times New Roman" w:hAnsi="Times New Roman" w:eastAsia="宋体" w:cs="Times New Roman"/>
                <w:szCs w:val="21"/>
              </w:rPr>
              <w:t>验收监测评价标准、标号、级别、限值</w:t>
            </w:r>
          </w:p>
        </w:tc>
        <w:tc>
          <w:tcPr>
            <w:tcW w:w="3856" w:type="pct"/>
            <w:gridSpan w:val="5"/>
            <w:tcBorders>
              <w:tl2br w:val="nil"/>
              <w:tr2bl w:val="nil"/>
            </w:tcBorders>
            <w:vAlign w:val="center"/>
          </w:tcPr>
          <w:p>
            <w:pPr>
              <w:pStyle w:val="9"/>
              <w:spacing w:line="500" w:lineRule="exact"/>
              <w:ind w:firstLine="420" w:firstLineChars="200"/>
              <w:rPr>
                <w:rFonts w:ascii="Times New Roman" w:hAnsi="Times New Roman" w:cs="Times New Roman"/>
                <w:spacing w:val="-2"/>
                <w:sz w:val="21"/>
                <w:lang w:val="en-US" w:bidi="ar-SA"/>
              </w:rPr>
            </w:pPr>
            <w:r>
              <w:rPr>
                <w:rFonts w:ascii="Times New Roman" w:hAnsi="Times New Roman" w:cs="Times New Roman"/>
                <w:bCs/>
                <w:sz w:val="21"/>
                <w:szCs w:val="21"/>
                <w:lang w:val="en-US"/>
              </w:rPr>
              <w:t>1、</w:t>
            </w:r>
            <w:r>
              <w:rPr>
                <w:rFonts w:ascii="Times New Roman" w:hAnsi="Times New Roman" w:cs="Times New Roman"/>
                <w:spacing w:val="-2"/>
                <w:sz w:val="21"/>
                <w:lang w:val="en-US" w:bidi="ar-SA"/>
              </w:rPr>
              <w:t>食堂油烟执行《饮食业油烟排放标准（试行）》（GB18483-2001）中小型规模标准，见表1-1。</w:t>
            </w:r>
          </w:p>
          <w:p>
            <w:pPr>
              <w:spacing w:line="500" w:lineRule="exact"/>
              <w:ind w:firstLine="420" w:firstLineChars="200"/>
              <w:jc w:val="left"/>
              <w:rPr>
                <w:rFonts w:ascii="Times New Roman" w:hAnsi="Times New Roman" w:eastAsia="黑体" w:cs="Times New Roman"/>
                <w:bCs/>
                <w:szCs w:val="21"/>
              </w:rPr>
            </w:pPr>
            <w:r>
              <w:rPr>
                <w:rFonts w:ascii="Times New Roman" w:hAnsi="Times New Roman" w:eastAsia="黑体" w:cs="Times New Roman"/>
                <w:bCs/>
                <w:szCs w:val="21"/>
              </w:rPr>
              <w:t>表1-1               饮食业油烟排放标准</w:t>
            </w:r>
          </w:p>
          <w:tbl>
            <w:tblPr>
              <w:tblStyle w:val="18"/>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Layout w:type="autofit"/>
              <w:tblCellMar>
                <w:top w:w="0" w:type="dxa"/>
                <w:left w:w="28" w:type="dxa"/>
                <w:bottom w:w="0" w:type="dxa"/>
                <w:right w:w="28" w:type="dxa"/>
              </w:tblCellMar>
            </w:tblPr>
            <w:tblGrid>
              <w:gridCol w:w="4021"/>
              <w:gridCol w:w="2921"/>
            </w:tblGrid>
            <w:tr>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28" w:type="dxa"/>
                  <w:bottom w:w="0" w:type="dxa"/>
                  <w:right w:w="28" w:type="dxa"/>
                </w:tblCellMar>
              </w:tblPrEx>
              <w:trPr>
                <w:trHeight w:val="482" w:hRule="atLeast"/>
                <w:jc w:val="center"/>
              </w:trPr>
              <w:tc>
                <w:tcPr>
                  <w:tcW w:w="2896" w:type="pct"/>
                  <w:vAlign w:val="center"/>
                </w:tcPr>
                <w:p>
                  <w:pPr>
                    <w:spacing w:line="288" w:lineRule="auto"/>
                    <w:jc w:val="center"/>
                    <w:rPr>
                      <w:rFonts w:ascii="Times New Roman" w:hAnsi="Times New Roman" w:eastAsia="黑体" w:cs="Times New Roman"/>
                      <w:bCs/>
                      <w:szCs w:val="21"/>
                    </w:rPr>
                  </w:pPr>
                  <w:r>
                    <w:rPr>
                      <w:rFonts w:ascii="Times New Roman" w:hAnsi="Times New Roman" w:eastAsia="黑体" w:cs="Times New Roman"/>
                      <w:bCs/>
                      <w:szCs w:val="21"/>
                    </w:rPr>
                    <w:t>规模</w:t>
                  </w:r>
                </w:p>
              </w:tc>
              <w:tc>
                <w:tcPr>
                  <w:tcW w:w="2103" w:type="pct"/>
                  <w:vAlign w:val="center"/>
                </w:tcPr>
                <w:p>
                  <w:pPr>
                    <w:spacing w:line="288" w:lineRule="auto"/>
                    <w:jc w:val="center"/>
                    <w:rPr>
                      <w:rFonts w:ascii="Times New Roman" w:hAnsi="Times New Roman" w:eastAsia="黑体" w:cs="Times New Roman"/>
                      <w:bCs/>
                      <w:szCs w:val="21"/>
                    </w:rPr>
                  </w:pPr>
                  <w:r>
                    <w:rPr>
                      <w:rFonts w:ascii="Times New Roman" w:hAnsi="Times New Roman" w:eastAsia="黑体" w:cs="Times New Roman"/>
                      <w:bCs/>
                      <w:szCs w:val="21"/>
                    </w:rPr>
                    <w:t>小型</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28" w:type="dxa"/>
                  <w:bottom w:w="0" w:type="dxa"/>
                  <w:right w:w="28" w:type="dxa"/>
                </w:tblCellMar>
              </w:tblPrEx>
              <w:trPr>
                <w:trHeight w:val="482" w:hRule="atLeast"/>
                <w:jc w:val="center"/>
              </w:trPr>
              <w:tc>
                <w:tcPr>
                  <w:tcW w:w="2896" w:type="pct"/>
                  <w:vAlign w:val="center"/>
                </w:tcPr>
                <w:p>
                  <w:pPr>
                    <w:spacing w:line="288" w:lineRule="auto"/>
                    <w:jc w:val="center"/>
                    <w:rPr>
                      <w:rFonts w:ascii="Times New Roman" w:hAnsi="Times New Roman" w:eastAsia="宋体" w:cs="Times New Roman"/>
                      <w:szCs w:val="21"/>
                    </w:rPr>
                  </w:pPr>
                  <w:r>
                    <w:rPr>
                      <w:rFonts w:ascii="Times New Roman" w:hAnsi="Times New Roman" w:eastAsia="宋体" w:cs="Times New Roman"/>
                      <w:szCs w:val="21"/>
                    </w:rPr>
                    <w:t>最高允许排放浓度（mg/m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2103" w:type="pct"/>
                  <w:vAlign w:val="center"/>
                </w:tcPr>
                <w:p>
                  <w:pPr>
                    <w:spacing w:line="288" w:lineRule="auto"/>
                    <w:jc w:val="center"/>
                    <w:rPr>
                      <w:rFonts w:ascii="Times New Roman" w:hAnsi="Times New Roman" w:eastAsia="宋体" w:cs="Times New Roman"/>
                      <w:szCs w:val="21"/>
                    </w:rPr>
                  </w:pPr>
                  <w:r>
                    <w:rPr>
                      <w:rFonts w:ascii="Times New Roman" w:hAnsi="Times New Roman" w:eastAsia="宋体" w:cs="Times New Roman"/>
                      <w:szCs w:val="21"/>
                    </w:rPr>
                    <w:t>2mg/m</w:t>
                  </w:r>
                  <w:r>
                    <w:rPr>
                      <w:rFonts w:ascii="Times New Roman" w:hAnsi="Times New Roman" w:eastAsia="宋体" w:cs="Times New Roman"/>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28" w:type="dxa"/>
                  <w:bottom w:w="0" w:type="dxa"/>
                  <w:right w:w="28" w:type="dxa"/>
                </w:tblCellMar>
              </w:tblPrEx>
              <w:trPr>
                <w:trHeight w:val="482" w:hRule="atLeast"/>
                <w:jc w:val="center"/>
              </w:trPr>
              <w:tc>
                <w:tcPr>
                  <w:tcW w:w="2896" w:type="pct"/>
                  <w:vAlign w:val="center"/>
                </w:tcPr>
                <w:p>
                  <w:pPr>
                    <w:spacing w:line="288" w:lineRule="auto"/>
                    <w:jc w:val="center"/>
                    <w:rPr>
                      <w:rFonts w:ascii="Times New Roman" w:hAnsi="Times New Roman" w:eastAsia="宋体" w:cs="Times New Roman"/>
                      <w:szCs w:val="21"/>
                    </w:rPr>
                  </w:pPr>
                  <w:r>
                    <w:rPr>
                      <w:rFonts w:ascii="Times New Roman" w:hAnsi="Times New Roman" w:eastAsia="宋体" w:cs="Times New Roman"/>
                      <w:szCs w:val="21"/>
                    </w:rPr>
                    <w:t>净化设施最低去除效率(%)</w:t>
                  </w:r>
                </w:p>
              </w:tc>
              <w:tc>
                <w:tcPr>
                  <w:tcW w:w="2103" w:type="pct"/>
                  <w:vAlign w:val="center"/>
                </w:tcPr>
                <w:p>
                  <w:pPr>
                    <w:spacing w:line="288" w:lineRule="auto"/>
                    <w:jc w:val="center"/>
                    <w:rPr>
                      <w:rFonts w:ascii="Times New Roman" w:hAnsi="Times New Roman" w:eastAsia="宋体" w:cs="Times New Roman"/>
                      <w:szCs w:val="21"/>
                    </w:rPr>
                  </w:pPr>
                  <w:r>
                    <w:rPr>
                      <w:rFonts w:ascii="Times New Roman" w:hAnsi="Times New Roman" w:eastAsia="宋体" w:cs="Times New Roman"/>
                      <w:szCs w:val="21"/>
                    </w:rPr>
                    <w:t>60</w:t>
                  </w:r>
                </w:p>
              </w:tc>
            </w:tr>
          </w:tbl>
          <w:p>
            <w:pPr>
              <w:spacing w:line="500" w:lineRule="exact"/>
              <w:ind w:firstLine="420" w:firstLineChars="200"/>
              <w:rPr>
                <w:rFonts w:ascii="Times New Roman" w:hAnsi="Times New Roman" w:eastAsia="宋体" w:cs="Times New Roman"/>
                <w:bCs/>
              </w:rPr>
            </w:pPr>
            <w:r>
              <w:rPr>
                <w:rFonts w:ascii="Times New Roman" w:hAnsi="Times New Roman" w:eastAsia="宋体" w:cs="Times New Roman"/>
                <w:bCs/>
              </w:rPr>
              <w:t>2、</w:t>
            </w:r>
            <w:r>
              <w:rPr>
                <w:rFonts w:ascii="Times New Roman" w:hAnsi="Times New Roman" w:eastAsia="宋体" w:cs="Times New Roman"/>
                <w:spacing w:val="-2"/>
              </w:rPr>
              <w:t>运营期锅炉所产生的废气污染物排放标准执行《锅炉大</w:t>
            </w:r>
            <w:r>
              <w:rPr>
                <w:rFonts w:ascii="Times New Roman" w:hAnsi="Times New Roman" w:eastAsia="宋体" w:cs="Times New Roman"/>
                <w:spacing w:val="-1"/>
              </w:rPr>
              <w:t>气污染物排放标准》</w:t>
            </w:r>
            <w:r>
              <w:rPr>
                <w:rFonts w:ascii="Times New Roman" w:hAnsi="Times New Roman" w:eastAsia="宋体" w:cs="Times New Roman"/>
              </w:rPr>
              <w:t>（GB13271-2014）</w:t>
            </w:r>
            <w:r>
              <w:rPr>
                <w:rFonts w:ascii="Times New Roman" w:hAnsi="Times New Roman" w:eastAsia="宋体" w:cs="Times New Roman"/>
                <w:spacing w:val="-20"/>
              </w:rPr>
              <w:t xml:space="preserve">中表 </w:t>
            </w:r>
            <w:r>
              <w:rPr>
                <w:rFonts w:ascii="Times New Roman" w:hAnsi="Times New Roman" w:eastAsia="宋体" w:cs="Times New Roman"/>
              </w:rPr>
              <w:t>2 新建锅炉大气污</w:t>
            </w:r>
            <w:r>
              <w:rPr>
                <w:rFonts w:ascii="Times New Roman" w:hAnsi="Times New Roman" w:eastAsia="宋体" w:cs="Times New Roman"/>
                <w:spacing w:val="-7"/>
              </w:rPr>
              <w:t>染物排放限值，见表1-2。</w:t>
            </w:r>
          </w:p>
          <w:p>
            <w:pPr>
              <w:spacing w:line="500" w:lineRule="exact"/>
              <w:ind w:firstLine="420" w:firstLineChars="200"/>
              <w:rPr>
                <w:rFonts w:ascii="Times New Roman" w:hAnsi="Times New Roman" w:eastAsia="黑体" w:cs="Times New Roman"/>
                <w:bCs/>
              </w:rPr>
            </w:pPr>
            <w:r>
              <w:rPr>
                <w:rFonts w:ascii="Times New Roman" w:hAnsi="Times New Roman" w:eastAsia="黑体" w:cs="Times New Roman"/>
                <w:bCs/>
              </w:rPr>
              <w:t>表1-2             锅炉大气污染物排放标准</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4"/>
              <w:gridCol w:w="2024"/>
              <w:gridCol w:w="2301"/>
              <w:gridCol w:w="19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665" w:type="dxa"/>
                  <w:tcBorders>
                    <w:top w:val="single" w:color="auto" w:sz="12" w:space="0"/>
                    <w:left w:val="nil"/>
                  </w:tcBorders>
                  <w:vAlign w:val="center"/>
                </w:tcPr>
                <w:p>
                  <w:pPr>
                    <w:spacing w:line="320" w:lineRule="exact"/>
                    <w:jc w:val="center"/>
                    <w:rPr>
                      <w:rFonts w:ascii="Times New Roman" w:hAnsi="Times New Roman" w:eastAsia="黑体" w:cs="Times New Roman"/>
                      <w:bCs/>
                    </w:rPr>
                  </w:pPr>
                  <w:r>
                    <w:rPr>
                      <w:rFonts w:ascii="Times New Roman" w:hAnsi="Times New Roman" w:eastAsia="黑体" w:cs="Times New Roman"/>
                      <w:bCs/>
                    </w:rPr>
                    <w:t>序号</w:t>
                  </w:r>
                </w:p>
              </w:tc>
              <w:tc>
                <w:tcPr>
                  <w:tcW w:w="2029" w:type="dxa"/>
                  <w:tcBorders>
                    <w:top w:val="single" w:color="auto" w:sz="12" w:space="0"/>
                  </w:tcBorders>
                  <w:vAlign w:val="center"/>
                </w:tcPr>
                <w:p>
                  <w:pPr>
                    <w:spacing w:line="320" w:lineRule="exact"/>
                    <w:jc w:val="center"/>
                    <w:rPr>
                      <w:rFonts w:ascii="Times New Roman" w:hAnsi="Times New Roman" w:eastAsia="黑体" w:cs="Times New Roman"/>
                      <w:bCs/>
                    </w:rPr>
                  </w:pPr>
                  <w:r>
                    <w:rPr>
                      <w:rFonts w:ascii="Times New Roman" w:hAnsi="Times New Roman" w:eastAsia="黑体" w:cs="Times New Roman"/>
                      <w:szCs w:val="21"/>
                    </w:rPr>
                    <w:t>污染物</w:t>
                  </w:r>
                </w:p>
              </w:tc>
              <w:tc>
                <w:tcPr>
                  <w:tcW w:w="2305" w:type="dxa"/>
                  <w:tcBorders>
                    <w:top w:val="single" w:color="auto" w:sz="12" w:space="0"/>
                  </w:tcBorders>
                  <w:vAlign w:val="center"/>
                </w:tcPr>
                <w:p>
                  <w:pPr>
                    <w:spacing w:line="320" w:lineRule="exact"/>
                    <w:jc w:val="center"/>
                    <w:rPr>
                      <w:rFonts w:ascii="Times New Roman" w:hAnsi="Times New Roman" w:eastAsia="黑体" w:cs="Times New Roman"/>
                      <w:bCs/>
                    </w:rPr>
                  </w:pPr>
                  <w:r>
                    <w:rPr>
                      <w:rFonts w:ascii="Times New Roman" w:hAnsi="Times New Roman" w:eastAsia="黑体" w:cs="Times New Roman"/>
                      <w:szCs w:val="21"/>
                    </w:rPr>
                    <w:t>燃气锅炉限值（mg/m</w:t>
                  </w:r>
                  <w:r>
                    <w:rPr>
                      <w:rFonts w:ascii="Times New Roman" w:hAnsi="Times New Roman" w:eastAsia="黑体" w:cs="Times New Roman"/>
                      <w:szCs w:val="21"/>
                      <w:vertAlign w:val="superscript"/>
                    </w:rPr>
                    <w:t>3</w:t>
                  </w:r>
                  <w:r>
                    <w:rPr>
                      <w:rFonts w:ascii="Times New Roman" w:hAnsi="Times New Roman" w:eastAsia="黑体" w:cs="Times New Roman"/>
                      <w:szCs w:val="21"/>
                    </w:rPr>
                    <w:t>）</w:t>
                  </w:r>
                </w:p>
              </w:tc>
              <w:tc>
                <w:tcPr>
                  <w:tcW w:w="1943" w:type="dxa"/>
                  <w:tcBorders>
                    <w:top w:val="single" w:color="auto" w:sz="12" w:space="0"/>
                    <w:right w:val="nil"/>
                  </w:tcBorders>
                  <w:vAlign w:val="center"/>
                </w:tcPr>
                <w:p>
                  <w:pPr>
                    <w:spacing w:line="320" w:lineRule="exact"/>
                    <w:jc w:val="center"/>
                    <w:rPr>
                      <w:rFonts w:ascii="Times New Roman" w:hAnsi="Times New Roman" w:eastAsia="黑体" w:cs="Times New Roman"/>
                      <w:bCs/>
                    </w:rPr>
                  </w:pPr>
                  <w:r>
                    <w:rPr>
                      <w:rFonts w:ascii="Times New Roman" w:hAnsi="Times New Roman" w:eastAsia="黑体" w:cs="Times New Roman"/>
                      <w:szCs w:val="21"/>
                    </w:rPr>
                    <w:t>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665" w:type="dxa"/>
                  <w:tcBorders>
                    <w:left w:val="nil"/>
                  </w:tcBorders>
                  <w:vAlign w:val="center"/>
                </w:tcPr>
                <w:p>
                  <w:pPr>
                    <w:spacing w:line="320" w:lineRule="exact"/>
                    <w:jc w:val="center"/>
                    <w:rPr>
                      <w:rFonts w:ascii="Times New Roman" w:hAnsi="Times New Roman" w:eastAsia="宋体" w:cs="Times New Roman"/>
                      <w:bCs/>
                    </w:rPr>
                  </w:pPr>
                  <w:r>
                    <w:rPr>
                      <w:rFonts w:ascii="Times New Roman" w:hAnsi="Times New Roman" w:eastAsia="宋体" w:cs="Times New Roman"/>
                      <w:bCs/>
                    </w:rPr>
                    <w:t>1</w:t>
                  </w:r>
                </w:p>
              </w:tc>
              <w:tc>
                <w:tcPr>
                  <w:tcW w:w="2029" w:type="dxa"/>
                  <w:vAlign w:val="center"/>
                </w:tcPr>
                <w:p>
                  <w:pPr>
                    <w:spacing w:line="320" w:lineRule="exact"/>
                    <w:jc w:val="center"/>
                    <w:rPr>
                      <w:rFonts w:ascii="Times New Roman" w:hAnsi="Times New Roman" w:eastAsia="宋体" w:cs="Times New Roman"/>
                      <w:bCs/>
                    </w:rPr>
                  </w:pPr>
                  <w:r>
                    <w:rPr>
                      <w:rFonts w:ascii="Times New Roman" w:hAnsi="Times New Roman" w:eastAsia="宋体" w:cs="Times New Roman"/>
                      <w:bCs/>
                      <w:szCs w:val="21"/>
                    </w:rPr>
                    <w:t>颗粒物</w:t>
                  </w:r>
                </w:p>
              </w:tc>
              <w:tc>
                <w:tcPr>
                  <w:tcW w:w="2305" w:type="dxa"/>
                  <w:vAlign w:val="center"/>
                </w:tcPr>
                <w:p>
                  <w:pPr>
                    <w:spacing w:line="320" w:lineRule="exact"/>
                    <w:jc w:val="center"/>
                    <w:rPr>
                      <w:rFonts w:ascii="Times New Roman" w:hAnsi="Times New Roman" w:eastAsia="宋体" w:cs="Times New Roman"/>
                      <w:bCs/>
                    </w:rPr>
                  </w:pPr>
                  <w:r>
                    <w:rPr>
                      <w:rFonts w:ascii="Times New Roman" w:hAnsi="Times New Roman" w:eastAsia="宋体" w:cs="Times New Roman"/>
                      <w:bCs/>
                      <w:szCs w:val="21"/>
                    </w:rPr>
                    <w:t>20</w:t>
                  </w:r>
                </w:p>
              </w:tc>
              <w:tc>
                <w:tcPr>
                  <w:tcW w:w="1943" w:type="dxa"/>
                  <w:vMerge w:val="restart"/>
                  <w:tcBorders>
                    <w:right w:val="nil"/>
                  </w:tcBorders>
                  <w:vAlign w:val="center"/>
                </w:tcPr>
                <w:p>
                  <w:pPr>
                    <w:spacing w:line="320" w:lineRule="exact"/>
                    <w:jc w:val="center"/>
                    <w:rPr>
                      <w:rFonts w:ascii="Times New Roman" w:hAnsi="Times New Roman" w:eastAsia="宋体" w:cs="Times New Roman"/>
                      <w:bCs/>
                    </w:rPr>
                  </w:pPr>
                  <w:r>
                    <w:rPr>
                      <w:rFonts w:ascii="Times New Roman" w:hAnsi="Times New Roman" w:eastAsia="宋体" w:cs="Times New Roman"/>
                      <w:bCs/>
                      <w:szCs w:val="21"/>
                    </w:rPr>
                    <w:t>《锅炉大气污染物排放标准》（GB13271-2014）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665" w:type="dxa"/>
                  <w:tcBorders>
                    <w:left w:val="nil"/>
                  </w:tcBorders>
                  <w:vAlign w:val="center"/>
                </w:tcPr>
                <w:p>
                  <w:pPr>
                    <w:spacing w:line="320" w:lineRule="exact"/>
                    <w:jc w:val="center"/>
                    <w:rPr>
                      <w:rFonts w:ascii="Times New Roman" w:hAnsi="Times New Roman" w:eastAsia="宋体" w:cs="Times New Roman"/>
                      <w:bCs/>
                    </w:rPr>
                  </w:pPr>
                  <w:r>
                    <w:rPr>
                      <w:rFonts w:ascii="Times New Roman" w:hAnsi="Times New Roman" w:eastAsia="宋体" w:cs="Times New Roman"/>
                      <w:bCs/>
                    </w:rPr>
                    <w:t>2</w:t>
                  </w:r>
                </w:p>
              </w:tc>
              <w:tc>
                <w:tcPr>
                  <w:tcW w:w="2029" w:type="dxa"/>
                  <w:vAlign w:val="center"/>
                </w:tcPr>
                <w:p>
                  <w:pPr>
                    <w:spacing w:line="320" w:lineRule="exact"/>
                    <w:jc w:val="center"/>
                    <w:rPr>
                      <w:rFonts w:ascii="Times New Roman" w:hAnsi="Times New Roman" w:eastAsia="宋体" w:cs="Times New Roman"/>
                      <w:bCs/>
                    </w:rPr>
                  </w:pPr>
                  <w:r>
                    <w:rPr>
                      <w:rFonts w:ascii="Times New Roman" w:hAnsi="Times New Roman" w:eastAsia="宋体" w:cs="Times New Roman"/>
                      <w:bCs/>
                      <w:szCs w:val="21"/>
                    </w:rPr>
                    <w:t>二氧化硫</w:t>
                  </w:r>
                </w:p>
              </w:tc>
              <w:tc>
                <w:tcPr>
                  <w:tcW w:w="2305" w:type="dxa"/>
                  <w:vAlign w:val="center"/>
                </w:tcPr>
                <w:p>
                  <w:pPr>
                    <w:spacing w:line="320" w:lineRule="exact"/>
                    <w:jc w:val="center"/>
                    <w:rPr>
                      <w:rFonts w:ascii="Times New Roman" w:hAnsi="Times New Roman" w:eastAsia="宋体" w:cs="Times New Roman"/>
                      <w:bCs/>
                    </w:rPr>
                  </w:pPr>
                  <w:r>
                    <w:rPr>
                      <w:rFonts w:ascii="Times New Roman" w:hAnsi="Times New Roman" w:eastAsia="宋体" w:cs="Times New Roman"/>
                      <w:bCs/>
                      <w:szCs w:val="21"/>
                    </w:rPr>
                    <w:t>50</w:t>
                  </w:r>
                </w:p>
              </w:tc>
              <w:tc>
                <w:tcPr>
                  <w:tcW w:w="1943" w:type="dxa"/>
                  <w:vMerge w:val="continue"/>
                  <w:tcBorders>
                    <w:right w:val="nil"/>
                  </w:tcBorders>
                </w:tcPr>
                <w:p>
                  <w:pPr>
                    <w:spacing w:line="320" w:lineRule="exact"/>
                    <w:jc w:val="center"/>
                    <w:rPr>
                      <w:rFonts w:ascii="Times New Roman" w:hAnsi="Times New Roman" w:eastAsia="宋体" w:cs="Times New Roman"/>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665" w:type="dxa"/>
                  <w:tcBorders>
                    <w:left w:val="nil"/>
                  </w:tcBorders>
                  <w:vAlign w:val="center"/>
                </w:tcPr>
                <w:p>
                  <w:pPr>
                    <w:spacing w:line="320" w:lineRule="exact"/>
                    <w:jc w:val="center"/>
                    <w:rPr>
                      <w:rFonts w:ascii="Times New Roman" w:hAnsi="Times New Roman" w:eastAsia="宋体" w:cs="Times New Roman"/>
                      <w:bCs/>
                    </w:rPr>
                  </w:pPr>
                  <w:r>
                    <w:rPr>
                      <w:rFonts w:ascii="Times New Roman" w:hAnsi="Times New Roman" w:eastAsia="宋体" w:cs="Times New Roman"/>
                      <w:bCs/>
                    </w:rPr>
                    <w:t>3</w:t>
                  </w:r>
                </w:p>
              </w:tc>
              <w:tc>
                <w:tcPr>
                  <w:tcW w:w="2029" w:type="dxa"/>
                  <w:vAlign w:val="center"/>
                </w:tcPr>
                <w:p>
                  <w:pPr>
                    <w:spacing w:line="320" w:lineRule="exact"/>
                    <w:jc w:val="center"/>
                    <w:rPr>
                      <w:rFonts w:ascii="Times New Roman" w:hAnsi="Times New Roman" w:eastAsia="宋体" w:cs="Times New Roman"/>
                      <w:bCs/>
                    </w:rPr>
                  </w:pPr>
                  <w:r>
                    <w:rPr>
                      <w:rFonts w:ascii="Times New Roman" w:hAnsi="Times New Roman" w:eastAsia="宋体" w:cs="Times New Roman"/>
                      <w:bCs/>
                      <w:szCs w:val="21"/>
                    </w:rPr>
                    <w:t>氮氧化物</w:t>
                  </w:r>
                </w:p>
              </w:tc>
              <w:tc>
                <w:tcPr>
                  <w:tcW w:w="2305" w:type="dxa"/>
                  <w:vAlign w:val="center"/>
                </w:tcPr>
                <w:p>
                  <w:pPr>
                    <w:spacing w:line="320" w:lineRule="exact"/>
                    <w:jc w:val="center"/>
                    <w:rPr>
                      <w:rFonts w:ascii="Times New Roman" w:hAnsi="Times New Roman" w:eastAsia="宋体" w:cs="Times New Roman"/>
                      <w:bCs/>
                    </w:rPr>
                  </w:pPr>
                  <w:r>
                    <w:rPr>
                      <w:rFonts w:ascii="Times New Roman" w:hAnsi="Times New Roman" w:eastAsia="宋体" w:cs="Times New Roman"/>
                      <w:bCs/>
                      <w:szCs w:val="21"/>
                    </w:rPr>
                    <w:t>200</w:t>
                  </w:r>
                </w:p>
              </w:tc>
              <w:tc>
                <w:tcPr>
                  <w:tcW w:w="1943" w:type="dxa"/>
                  <w:vMerge w:val="continue"/>
                  <w:tcBorders>
                    <w:right w:val="nil"/>
                  </w:tcBorders>
                </w:tcPr>
                <w:p>
                  <w:pPr>
                    <w:spacing w:line="320" w:lineRule="exact"/>
                    <w:jc w:val="center"/>
                    <w:rPr>
                      <w:rFonts w:ascii="Times New Roman" w:hAnsi="Times New Roman" w:eastAsia="宋体" w:cs="Times New Roman"/>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665" w:type="dxa"/>
                  <w:tcBorders>
                    <w:left w:val="nil"/>
                    <w:bottom w:val="single" w:color="auto" w:sz="12" w:space="0"/>
                  </w:tcBorders>
                  <w:vAlign w:val="center"/>
                </w:tcPr>
                <w:p>
                  <w:pPr>
                    <w:spacing w:line="320" w:lineRule="exact"/>
                    <w:jc w:val="center"/>
                    <w:rPr>
                      <w:rFonts w:ascii="Times New Roman" w:hAnsi="Times New Roman" w:eastAsia="宋体" w:cs="Times New Roman"/>
                      <w:bCs/>
                    </w:rPr>
                  </w:pPr>
                  <w:r>
                    <w:rPr>
                      <w:rFonts w:ascii="Times New Roman" w:hAnsi="Times New Roman" w:eastAsia="宋体" w:cs="Times New Roman"/>
                      <w:bCs/>
                    </w:rPr>
                    <w:t>4</w:t>
                  </w:r>
                </w:p>
              </w:tc>
              <w:tc>
                <w:tcPr>
                  <w:tcW w:w="2029" w:type="dxa"/>
                  <w:tcBorders>
                    <w:bottom w:val="single" w:color="auto" w:sz="12" w:space="0"/>
                  </w:tcBorders>
                  <w:vAlign w:val="center"/>
                </w:tcPr>
                <w:p>
                  <w:pPr>
                    <w:spacing w:line="320" w:lineRule="exact"/>
                    <w:jc w:val="center"/>
                    <w:rPr>
                      <w:rFonts w:ascii="Times New Roman" w:hAnsi="Times New Roman" w:eastAsia="宋体" w:cs="Times New Roman"/>
                      <w:bCs/>
                    </w:rPr>
                  </w:pPr>
                  <w:r>
                    <w:rPr>
                      <w:rFonts w:ascii="Times New Roman" w:hAnsi="Times New Roman" w:eastAsia="宋体" w:cs="Times New Roman"/>
                      <w:bCs/>
                      <w:szCs w:val="21"/>
                    </w:rPr>
                    <w:t>烟气黑度（林格曼黑度，级）</w:t>
                  </w:r>
                </w:p>
              </w:tc>
              <w:tc>
                <w:tcPr>
                  <w:tcW w:w="2305" w:type="dxa"/>
                  <w:tcBorders>
                    <w:bottom w:val="single" w:color="auto" w:sz="12" w:space="0"/>
                  </w:tcBorders>
                  <w:vAlign w:val="center"/>
                </w:tcPr>
                <w:p>
                  <w:pPr>
                    <w:spacing w:line="320" w:lineRule="exact"/>
                    <w:jc w:val="center"/>
                    <w:rPr>
                      <w:rFonts w:ascii="Times New Roman" w:hAnsi="Times New Roman" w:eastAsia="宋体" w:cs="Times New Roman"/>
                      <w:bCs/>
                    </w:rPr>
                  </w:pPr>
                  <w:r>
                    <w:rPr>
                      <w:rFonts w:ascii="Times New Roman" w:hAnsi="Times New Roman" w:eastAsia="宋体" w:cs="Times New Roman"/>
                      <w:bCs/>
                      <w:szCs w:val="21"/>
                    </w:rPr>
                    <w:t>≤1</w:t>
                  </w:r>
                </w:p>
              </w:tc>
              <w:tc>
                <w:tcPr>
                  <w:tcW w:w="1943" w:type="dxa"/>
                  <w:vMerge w:val="continue"/>
                  <w:tcBorders>
                    <w:bottom w:val="single" w:color="auto" w:sz="12" w:space="0"/>
                    <w:right w:val="nil"/>
                  </w:tcBorders>
                </w:tcPr>
                <w:p>
                  <w:pPr>
                    <w:spacing w:line="320" w:lineRule="exact"/>
                    <w:jc w:val="center"/>
                    <w:rPr>
                      <w:rFonts w:ascii="Times New Roman" w:hAnsi="Times New Roman" w:eastAsia="宋体" w:cs="Times New Roman"/>
                      <w:bCs/>
                    </w:rPr>
                  </w:pPr>
                </w:p>
              </w:tc>
            </w:tr>
          </w:tbl>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3、烘干粉尘执行《大气污染物综合排放标准》(GB16297-1996)表2排放标准，见表1-3。</w:t>
            </w:r>
          </w:p>
          <w:p>
            <w:pPr>
              <w:spacing w:line="288" w:lineRule="auto"/>
              <w:ind w:firstLine="420" w:firstLineChars="200"/>
              <w:rPr>
                <w:rFonts w:ascii="Times New Roman" w:hAnsi="Times New Roman" w:eastAsia="黑体" w:cs="Times New Roman"/>
                <w:spacing w:val="-8"/>
                <w:szCs w:val="21"/>
              </w:rPr>
            </w:pPr>
            <w:r>
              <w:rPr>
                <w:rFonts w:ascii="Times New Roman" w:hAnsi="Times New Roman" w:eastAsia="黑体" w:cs="Times New Roman"/>
                <w:szCs w:val="21"/>
              </w:rPr>
              <w:t xml:space="preserve">表1-3            </w:t>
            </w:r>
            <w:r>
              <w:rPr>
                <w:rFonts w:ascii="Times New Roman" w:hAnsi="Times New Roman" w:eastAsia="黑体" w:cs="Times New Roman"/>
                <w:bCs/>
                <w:szCs w:val="21"/>
              </w:rPr>
              <w:t>大气污染物综合排放标准</w:t>
            </w:r>
          </w:p>
          <w:tbl>
            <w:tblPr>
              <w:tblStyle w:val="1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43"/>
              <w:gridCol w:w="1997"/>
              <w:gridCol w:w="1238"/>
              <w:gridCol w:w="226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039" w:type="pct"/>
                  <w:tcBorders>
                    <w:top w:val="single" w:color="auto" w:sz="12" w:space="0"/>
                    <w:left w:val="nil"/>
                    <w:bottom w:val="single" w:color="auto" w:sz="4" w:space="0"/>
                    <w:right w:val="single" w:color="auto" w:sz="4" w:space="0"/>
                  </w:tcBorders>
                  <w:vAlign w:val="center"/>
                </w:tcPr>
                <w:p>
                  <w:pPr>
                    <w:spacing w:line="320" w:lineRule="exact"/>
                    <w:jc w:val="center"/>
                    <w:rPr>
                      <w:rFonts w:ascii="Times New Roman" w:hAnsi="Times New Roman" w:eastAsia="黑体" w:cs="Times New Roman"/>
                      <w:szCs w:val="21"/>
                    </w:rPr>
                  </w:pPr>
                  <w:r>
                    <w:rPr>
                      <w:rFonts w:ascii="Times New Roman" w:hAnsi="Times New Roman" w:eastAsia="黑体" w:cs="Times New Roman"/>
                      <w:szCs w:val="21"/>
                    </w:rPr>
                    <w:t>污染物</w:t>
                  </w:r>
                </w:p>
              </w:tc>
              <w:tc>
                <w:tcPr>
                  <w:tcW w:w="1438" w:type="pct"/>
                  <w:tcBorders>
                    <w:top w:val="single" w:color="auto" w:sz="12" w:space="0"/>
                    <w:left w:val="single" w:color="auto" w:sz="4" w:space="0"/>
                    <w:bottom w:val="single" w:color="auto" w:sz="4" w:space="0"/>
                    <w:right w:val="single" w:color="auto" w:sz="4" w:space="0"/>
                  </w:tcBorders>
                  <w:vAlign w:val="center"/>
                </w:tcPr>
                <w:p>
                  <w:pPr>
                    <w:spacing w:line="320" w:lineRule="exact"/>
                    <w:jc w:val="center"/>
                    <w:rPr>
                      <w:rFonts w:ascii="Times New Roman" w:hAnsi="Times New Roman" w:eastAsia="黑体" w:cs="Times New Roman"/>
                      <w:szCs w:val="21"/>
                    </w:rPr>
                  </w:pPr>
                  <w:r>
                    <w:rPr>
                      <w:rFonts w:ascii="Times New Roman" w:hAnsi="Times New Roman" w:eastAsia="黑体" w:cs="Times New Roman"/>
                      <w:szCs w:val="21"/>
                    </w:rPr>
                    <w:t>最高允许排放浓度(mg/m</w:t>
                  </w:r>
                  <w:r>
                    <w:rPr>
                      <w:rFonts w:ascii="Times New Roman" w:hAnsi="Times New Roman" w:eastAsia="黑体" w:cs="Times New Roman"/>
                      <w:szCs w:val="21"/>
                      <w:vertAlign w:val="superscript"/>
                    </w:rPr>
                    <w:t>3</w:t>
                  </w:r>
                  <w:r>
                    <w:rPr>
                      <w:rFonts w:ascii="Times New Roman" w:hAnsi="Times New Roman" w:eastAsia="黑体" w:cs="Times New Roman"/>
                      <w:szCs w:val="21"/>
                    </w:rPr>
                    <w:t>)</w:t>
                  </w:r>
                </w:p>
              </w:tc>
              <w:tc>
                <w:tcPr>
                  <w:tcW w:w="892" w:type="pct"/>
                  <w:tcBorders>
                    <w:top w:val="single" w:color="auto" w:sz="12" w:space="0"/>
                    <w:left w:val="single" w:color="auto" w:sz="4" w:space="0"/>
                    <w:bottom w:val="single" w:color="auto" w:sz="4" w:space="0"/>
                    <w:right w:val="nil"/>
                  </w:tcBorders>
                  <w:vAlign w:val="center"/>
                </w:tcPr>
                <w:p>
                  <w:pPr>
                    <w:spacing w:line="320" w:lineRule="exact"/>
                    <w:jc w:val="center"/>
                    <w:rPr>
                      <w:rFonts w:ascii="Times New Roman" w:hAnsi="Times New Roman" w:eastAsia="黑体" w:cs="Times New Roman"/>
                      <w:szCs w:val="21"/>
                    </w:rPr>
                  </w:pPr>
                  <w:r>
                    <w:rPr>
                      <w:rFonts w:ascii="Times New Roman" w:hAnsi="Times New Roman" w:eastAsia="黑体" w:cs="Times New Roman"/>
                      <w:szCs w:val="21"/>
                    </w:rPr>
                    <w:t>高度</w:t>
                  </w:r>
                </w:p>
              </w:tc>
              <w:tc>
                <w:tcPr>
                  <w:tcW w:w="1631" w:type="pct"/>
                  <w:tcBorders>
                    <w:top w:val="single" w:color="auto" w:sz="12" w:space="0"/>
                    <w:left w:val="single" w:color="auto" w:sz="4" w:space="0"/>
                    <w:bottom w:val="single" w:color="auto" w:sz="4" w:space="0"/>
                    <w:right w:val="nil"/>
                  </w:tcBorders>
                  <w:vAlign w:val="center"/>
                </w:tcPr>
                <w:p>
                  <w:pPr>
                    <w:spacing w:line="320" w:lineRule="exact"/>
                    <w:jc w:val="center"/>
                    <w:rPr>
                      <w:rFonts w:ascii="Times New Roman" w:hAnsi="Times New Roman" w:eastAsia="黑体" w:cs="Times New Roman"/>
                      <w:szCs w:val="21"/>
                    </w:rPr>
                  </w:pPr>
                  <w:r>
                    <w:rPr>
                      <w:rFonts w:ascii="Times New Roman" w:hAnsi="Times New Roman" w:eastAsia="黑体" w:cs="Times New Roman"/>
                      <w:szCs w:val="21"/>
                    </w:rPr>
                    <w:t>无组织排放监控浓度限值（mg/m</w:t>
                  </w:r>
                  <w:r>
                    <w:rPr>
                      <w:rFonts w:ascii="Times New Roman" w:hAnsi="Times New Roman" w:eastAsia="黑体" w:cs="Times New Roman"/>
                      <w:szCs w:val="21"/>
                      <w:vertAlign w:val="superscript"/>
                    </w:rPr>
                    <w:t>3</w:t>
                  </w:r>
                  <w:r>
                    <w:rPr>
                      <w:rFonts w:ascii="Times New Roman" w:hAnsi="Times New Roman" w:eastAsia="黑体" w:cs="Times New Roman"/>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039" w:type="pct"/>
                  <w:tcBorders>
                    <w:top w:val="single" w:color="auto" w:sz="4" w:space="0"/>
                    <w:left w:val="nil"/>
                    <w:bottom w:val="single" w:color="auto" w:sz="12" w:space="0"/>
                    <w:right w:val="single" w:color="auto" w:sz="4" w:space="0"/>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颗粒物</w:t>
                  </w:r>
                </w:p>
              </w:tc>
              <w:tc>
                <w:tcPr>
                  <w:tcW w:w="1438" w:type="pct"/>
                  <w:tcBorders>
                    <w:top w:val="single" w:color="auto" w:sz="4" w:space="0"/>
                    <w:left w:val="single" w:color="auto" w:sz="4" w:space="0"/>
                    <w:bottom w:val="single" w:color="auto" w:sz="12" w:space="0"/>
                    <w:right w:val="single" w:color="auto" w:sz="4" w:space="0"/>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120</w:t>
                  </w:r>
                </w:p>
              </w:tc>
              <w:tc>
                <w:tcPr>
                  <w:tcW w:w="892" w:type="pct"/>
                  <w:tcBorders>
                    <w:top w:val="single" w:color="auto" w:sz="4" w:space="0"/>
                    <w:left w:val="single" w:color="auto" w:sz="4" w:space="0"/>
                    <w:bottom w:val="single" w:color="auto" w:sz="12" w:space="0"/>
                    <w:right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15m</w:t>
                  </w:r>
                </w:p>
              </w:tc>
              <w:tc>
                <w:tcPr>
                  <w:tcW w:w="1631" w:type="pct"/>
                  <w:tcBorders>
                    <w:top w:val="single" w:color="auto" w:sz="4" w:space="0"/>
                    <w:left w:val="single" w:color="auto" w:sz="4" w:space="0"/>
                    <w:bottom w:val="single" w:color="auto" w:sz="12" w:space="0"/>
                    <w:right w:val="nil"/>
                  </w:tcBorders>
                  <w:vAlign w:val="center"/>
                </w:tcPr>
                <w:p>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1.0</w:t>
                  </w:r>
                </w:p>
              </w:tc>
            </w:tr>
          </w:tbl>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4、沥青搅拌装置排放废气污染物执行《大气污染物综合排放标准》表2二级排放标准，见表1-4。</w:t>
            </w:r>
          </w:p>
          <w:p>
            <w:pPr>
              <w:spacing w:line="500" w:lineRule="exact"/>
              <w:ind w:firstLine="420" w:firstLineChars="200"/>
              <w:rPr>
                <w:rFonts w:ascii="Times New Roman" w:hAnsi="Times New Roman" w:eastAsia="黑体" w:cs="Times New Roman"/>
                <w:spacing w:val="-8"/>
                <w:szCs w:val="21"/>
              </w:rPr>
            </w:pPr>
            <w:r>
              <w:rPr>
                <w:rFonts w:ascii="Times New Roman" w:hAnsi="Times New Roman" w:eastAsia="黑体" w:cs="Times New Roman"/>
                <w:szCs w:val="21"/>
              </w:rPr>
              <w:t>表1-4             大气污染物综合排放标准</w:t>
            </w:r>
          </w:p>
          <w:tbl>
            <w:tblPr>
              <w:tblStyle w:val="18"/>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19"/>
              <w:gridCol w:w="1841"/>
              <w:gridCol w:w="1250"/>
              <w:gridCol w:w="1262"/>
              <w:gridCol w:w="116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022" w:type="pct"/>
                  <w:tcBorders>
                    <w:top w:val="single" w:color="auto" w:sz="12" w:space="0"/>
                    <w:left w:val="nil"/>
                    <w:bottom w:val="single" w:color="auto" w:sz="4" w:space="0"/>
                    <w:right w:val="single" w:color="auto" w:sz="4" w:space="0"/>
                  </w:tcBorders>
                  <w:vAlign w:val="center"/>
                </w:tcPr>
                <w:p>
                  <w:pPr>
                    <w:spacing w:line="320" w:lineRule="exact"/>
                    <w:jc w:val="center"/>
                    <w:rPr>
                      <w:rFonts w:ascii="Times New Roman" w:hAnsi="Times New Roman" w:eastAsia="黑体" w:cs="Times New Roman"/>
                      <w:szCs w:val="21"/>
                    </w:rPr>
                  </w:pPr>
                  <w:r>
                    <w:rPr>
                      <w:rFonts w:ascii="Times New Roman" w:hAnsi="Times New Roman" w:eastAsia="黑体" w:cs="Times New Roman"/>
                      <w:szCs w:val="21"/>
                    </w:rPr>
                    <w:t>污染物</w:t>
                  </w:r>
                </w:p>
              </w:tc>
              <w:tc>
                <w:tcPr>
                  <w:tcW w:w="1326" w:type="pct"/>
                  <w:tcBorders>
                    <w:top w:val="single" w:color="auto" w:sz="12" w:space="0"/>
                    <w:left w:val="single" w:color="auto" w:sz="4" w:space="0"/>
                    <w:bottom w:val="single" w:color="auto" w:sz="4" w:space="0"/>
                    <w:right w:val="single" w:color="auto" w:sz="4" w:space="0"/>
                  </w:tcBorders>
                  <w:vAlign w:val="center"/>
                </w:tcPr>
                <w:p>
                  <w:pPr>
                    <w:spacing w:line="320" w:lineRule="exact"/>
                    <w:jc w:val="center"/>
                    <w:rPr>
                      <w:rFonts w:ascii="Times New Roman" w:hAnsi="Times New Roman" w:eastAsia="黑体" w:cs="Times New Roman"/>
                      <w:szCs w:val="21"/>
                    </w:rPr>
                  </w:pPr>
                  <w:r>
                    <w:rPr>
                      <w:rFonts w:ascii="Times New Roman" w:hAnsi="Times New Roman" w:eastAsia="黑体" w:cs="Times New Roman"/>
                      <w:szCs w:val="21"/>
                    </w:rPr>
                    <w:t>排放源</w:t>
                  </w:r>
                </w:p>
              </w:tc>
              <w:tc>
                <w:tcPr>
                  <w:tcW w:w="900" w:type="pct"/>
                  <w:tcBorders>
                    <w:top w:val="single" w:color="auto" w:sz="12" w:space="0"/>
                    <w:left w:val="single" w:color="auto" w:sz="4" w:space="0"/>
                    <w:bottom w:val="single" w:color="auto" w:sz="4" w:space="0"/>
                    <w:right w:val="nil"/>
                  </w:tcBorders>
                  <w:vAlign w:val="center"/>
                </w:tcPr>
                <w:p>
                  <w:pPr>
                    <w:spacing w:line="320" w:lineRule="exact"/>
                    <w:jc w:val="center"/>
                    <w:rPr>
                      <w:rFonts w:ascii="Times New Roman" w:hAnsi="Times New Roman" w:eastAsia="黑体" w:cs="Times New Roman"/>
                      <w:szCs w:val="21"/>
                    </w:rPr>
                  </w:pPr>
                  <w:r>
                    <w:rPr>
                      <w:rFonts w:ascii="Times New Roman" w:hAnsi="Times New Roman" w:eastAsia="黑体" w:cs="Times New Roman"/>
                      <w:szCs w:val="21"/>
                    </w:rPr>
                    <w:t>高度</w:t>
                  </w:r>
                </w:p>
              </w:tc>
              <w:tc>
                <w:tcPr>
                  <w:tcW w:w="909" w:type="pct"/>
                  <w:tcBorders>
                    <w:top w:val="single" w:color="auto" w:sz="12" w:space="0"/>
                    <w:left w:val="single" w:color="auto" w:sz="4" w:space="0"/>
                    <w:bottom w:val="single" w:color="auto" w:sz="4" w:space="0"/>
                    <w:right w:val="nil"/>
                  </w:tcBorders>
                  <w:vAlign w:val="center"/>
                </w:tcPr>
                <w:p>
                  <w:pPr>
                    <w:spacing w:line="320" w:lineRule="exact"/>
                    <w:jc w:val="center"/>
                    <w:rPr>
                      <w:rFonts w:ascii="Times New Roman" w:hAnsi="Times New Roman" w:eastAsia="黑体" w:cs="Times New Roman"/>
                      <w:szCs w:val="21"/>
                    </w:rPr>
                  </w:pPr>
                  <w:r>
                    <w:rPr>
                      <w:rFonts w:ascii="Times New Roman" w:hAnsi="Times New Roman" w:eastAsia="黑体" w:cs="Times New Roman"/>
                      <w:szCs w:val="21"/>
                    </w:rPr>
                    <w:t>排放限值（mg/m</w:t>
                  </w:r>
                  <w:r>
                    <w:rPr>
                      <w:rFonts w:ascii="Times New Roman" w:hAnsi="Times New Roman" w:eastAsia="黑体" w:cs="Times New Roman"/>
                      <w:szCs w:val="21"/>
                      <w:vertAlign w:val="superscript"/>
                    </w:rPr>
                    <w:t>3</w:t>
                  </w:r>
                  <w:r>
                    <w:rPr>
                      <w:rFonts w:ascii="Times New Roman" w:hAnsi="Times New Roman" w:eastAsia="黑体" w:cs="Times New Roman"/>
                      <w:szCs w:val="21"/>
                    </w:rPr>
                    <w:t>）</w:t>
                  </w:r>
                </w:p>
              </w:tc>
              <w:tc>
                <w:tcPr>
                  <w:tcW w:w="840" w:type="pct"/>
                  <w:tcBorders>
                    <w:top w:val="single" w:color="auto" w:sz="12" w:space="0"/>
                    <w:left w:val="single" w:color="auto" w:sz="4" w:space="0"/>
                    <w:bottom w:val="single" w:color="auto" w:sz="4" w:space="0"/>
                    <w:right w:val="nil"/>
                  </w:tcBorders>
                  <w:vAlign w:val="center"/>
                </w:tcPr>
                <w:p>
                  <w:pPr>
                    <w:spacing w:line="320" w:lineRule="exact"/>
                    <w:jc w:val="center"/>
                    <w:rPr>
                      <w:rFonts w:ascii="Times New Roman" w:hAnsi="Times New Roman" w:eastAsia="黑体" w:cs="Times New Roman"/>
                      <w:szCs w:val="21"/>
                    </w:rPr>
                  </w:pPr>
                  <w:r>
                    <w:rPr>
                      <w:rFonts w:ascii="Times New Roman" w:hAnsi="Times New Roman" w:eastAsia="黑体" w:cs="Times New Roman"/>
                      <w:szCs w:val="21"/>
                    </w:rPr>
                    <w:t>排放速率（kg/h）</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022" w:type="pct"/>
                  <w:tcBorders>
                    <w:top w:val="single" w:color="auto" w:sz="4" w:space="0"/>
                    <w:left w:val="nil"/>
                    <w:bottom w:val="single" w:color="auto" w:sz="4" w:space="0"/>
                    <w:right w:val="single" w:color="auto" w:sz="4" w:space="0"/>
                  </w:tcBorders>
                  <w:vAlign w:val="center"/>
                </w:tcPr>
                <w:p>
                  <w:pPr>
                    <w:spacing w:line="320" w:lineRule="exact"/>
                    <w:jc w:val="center"/>
                    <w:rPr>
                      <w:rFonts w:ascii="Times New Roman" w:hAnsi="Times New Roman" w:eastAsia="宋体" w:cs="Times New Roman"/>
                      <w:bCs/>
                      <w:szCs w:val="21"/>
                    </w:rPr>
                  </w:pPr>
                  <w:r>
                    <w:rPr>
                      <w:rFonts w:ascii="Times New Roman" w:hAnsi="Times New Roman" w:eastAsia="宋体" w:cs="Times New Roman"/>
                      <w:bCs/>
                      <w:szCs w:val="21"/>
                    </w:rPr>
                    <w:t>沥青烟</w:t>
                  </w:r>
                </w:p>
              </w:tc>
              <w:tc>
                <w:tcPr>
                  <w:tcW w:w="1326" w:type="pct"/>
                  <w:vMerge w:val="restart"/>
                  <w:tcBorders>
                    <w:top w:val="single" w:color="auto" w:sz="4" w:space="0"/>
                    <w:left w:val="single" w:color="auto" w:sz="4" w:space="0"/>
                    <w:right w:val="single" w:color="auto" w:sz="4" w:space="0"/>
                  </w:tcBorders>
                  <w:vAlign w:val="center"/>
                </w:tcPr>
                <w:p>
                  <w:pPr>
                    <w:spacing w:line="320" w:lineRule="exact"/>
                    <w:jc w:val="center"/>
                    <w:rPr>
                      <w:rFonts w:ascii="Times New Roman" w:hAnsi="Times New Roman" w:eastAsia="宋体" w:cs="Times New Roman"/>
                      <w:bCs/>
                      <w:szCs w:val="21"/>
                    </w:rPr>
                  </w:pPr>
                  <w:r>
                    <w:rPr>
                      <w:rFonts w:ascii="Times New Roman" w:hAnsi="Times New Roman" w:eastAsia="宋体" w:cs="Times New Roman"/>
                      <w:bCs/>
                      <w:szCs w:val="21"/>
                    </w:rPr>
                    <w:t>沥青搅拌装置排气筒</w:t>
                  </w:r>
                </w:p>
              </w:tc>
              <w:tc>
                <w:tcPr>
                  <w:tcW w:w="900" w:type="pct"/>
                  <w:vMerge w:val="restart"/>
                  <w:tcBorders>
                    <w:top w:val="single" w:color="auto" w:sz="4" w:space="0"/>
                    <w:left w:val="single" w:color="auto" w:sz="4" w:space="0"/>
                    <w:right w:val="nil"/>
                  </w:tcBorders>
                  <w:vAlign w:val="center"/>
                </w:tcPr>
                <w:p>
                  <w:pPr>
                    <w:spacing w:line="320" w:lineRule="exact"/>
                    <w:jc w:val="center"/>
                    <w:rPr>
                      <w:rFonts w:ascii="Times New Roman" w:hAnsi="Times New Roman" w:eastAsia="宋体" w:cs="Times New Roman"/>
                      <w:bCs/>
                      <w:szCs w:val="21"/>
                    </w:rPr>
                  </w:pPr>
                  <w:r>
                    <w:rPr>
                      <w:rFonts w:ascii="Times New Roman" w:hAnsi="Times New Roman" w:eastAsia="宋体" w:cs="Times New Roman"/>
                      <w:bCs/>
                      <w:szCs w:val="21"/>
                    </w:rPr>
                    <w:t>15m</w:t>
                  </w:r>
                </w:p>
              </w:tc>
              <w:tc>
                <w:tcPr>
                  <w:tcW w:w="909" w:type="pct"/>
                  <w:tcBorders>
                    <w:top w:val="single" w:color="auto" w:sz="4" w:space="0"/>
                    <w:left w:val="single" w:color="auto" w:sz="4" w:space="0"/>
                    <w:bottom w:val="single" w:color="auto" w:sz="4" w:space="0"/>
                    <w:right w:val="nil"/>
                  </w:tcBorders>
                  <w:vAlign w:val="center"/>
                </w:tcPr>
                <w:p>
                  <w:pPr>
                    <w:spacing w:line="320" w:lineRule="exact"/>
                    <w:jc w:val="center"/>
                    <w:rPr>
                      <w:rFonts w:ascii="Times New Roman" w:hAnsi="Times New Roman" w:eastAsia="宋体" w:cs="Times New Roman"/>
                      <w:bCs/>
                      <w:szCs w:val="21"/>
                    </w:rPr>
                  </w:pPr>
                  <w:r>
                    <w:rPr>
                      <w:rFonts w:ascii="Times New Roman" w:hAnsi="Times New Roman" w:eastAsia="宋体" w:cs="Times New Roman"/>
                      <w:bCs/>
                      <w:szCs w:val="21"/>
                    </w:rPr>
                    <w:t>75</w:t>
                  </w:r>
                </w:p>
              </w:tc>
              <w:tc>
                <w:tcPr>
                  <w:tcW w:w="840" w:type="pct"/>
                  <w:tcBorders>
                    <w:top w:val="single" w:color="auto" w:sz="4" w:space="0"/>
                    <w:left w:val="single" w:color="auto" w:sz="4" w:space="0"/>
                    <w:bottom w:val="single" w:color="auto" w:sz="4" w:space="0"/>
                    <w:right w:val="nil"/>
                  </w:tcBorders>
                  <w:vAlign w:val="center"/>
                </w:tcPr>
                <w:p>
                  <w:pPr>
                    <w:spacing w:line="320" w:lineRule="exact"/>
                    <w:jc w:val="center"/>
                    <w:rPr>
                      <w:rFonts w:ascii="Times New Roman" w:hAnsi="Times New Roman" w:eastAsia="宋体" w:cs="Times New Roman"/>
                      <w:bCs/>
                      <w:szCs w:val="21"/>
                    </w:rPr>
                  </w:pPr>
                  <w:r>
                    <w:rPr>
                      <w:rFonts w:ascii="Times New Roman" w:hAnsi="Times New Roman" w:eastAsia="宋体" w:cs="Times New Roman"/>
                      <w:bCs/>
                      <w:szCs w:val="21"/>
                    </w:rPr>
                    <w:t>0.18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022" w:type="pct"/>
                  <w:tcBorders>
                    <w:top w:val="single" w:color="auto" w:sz="4" w:space="0"/>
                    <w:left w:val="nil"/>
                    <w:bottom w:val="single" w:color="auto" w:sz="12" w:space="0"/>
                    <w:right w:val="single" w:color="auto" w:sz="4" w:space="0"/>
                  </w:tcBorders>
                  <w:vAlign w:val="center"/>
                </w:tcPr>
                <w:p>
                  <w:pPr>
                    <w:spacing w:line="320" w:lineRule="exact"/>
                    <w:jc w:val="center"/>
                    <w:rPr>
                      <w:rFonts w:ascii="Times New Roman" w:hAnsi="Times New Roman" w:eastAsia="宋体" w:cs="Times New Roman"/>
                      <w:bCs/>
                      <w:szCs w:val="21"/>
                    </w:rPr>
                  </w:pPr>
                  <w:r>
                    <w:rPr>
                      <w:rFonts w:ascii="Times New Roman" w:hAnsi="Times New Roman" w:eastAsia="宋体" w:cs="Times New Roman"/>
                      <w:bCs/>
                      <w:szCs w:val="21"/>
                    </w:rPr>
                    <w:t>苯并芘</w:t>
                  </w:r>
                </w:p>
              </w:tc>
              <w:tc>
                <w:tcPr>
                  <w:tcW w:w="1326" w:type="pct"/>
                  <w:vMerge w:val="continue"/>
                  <w:tcBorders>
                    <w:left w:val="single" w:color="auto" w:sz="4" w:space="0"/>
                    <w:bottom w:val="single" w:color="auto" w:sz="12" w:space="0"/>
                    <w:right w:val="single" w:color="auto" w:sz="4" w:space="0"/>
                  </w:tcBorders>
                  <w:vAlign w:val="center"/>
                </w:tcPr>
                <w:p>
                  <w:pPr>
                    <w:spacing w:line="320" w:lineRule="exact"/>
                    <w:jc w:val="center"/>
                    <w:rPr>
                      <w:rFonts w:ascii="Times New Roman" w:hAnsi="Times New Roman" w:eastAsia="宋体" w:cs="Times New Roman"/>
                      <w:bCs/>
                      <w:szCs w:val="21"/>
                    </w:rPr>
                  </w:pPr>
                </w:p>
              </w:tc>
              <w:tc>
                <w:tcPr>
                  <w:tcW w:w="900" w:type="pct"/>
                  <w:vMerge w:val="continue"/>
                  <w:tcBorders>
                    <w:left w:val="single" w:color="auto" w:sz="4" w:space="0"/>
                    <w:bottom w:val="single" w:color="auto" w:sz="12" w:space="0"/>
                    <w:right w:val="nil"/>
                  </w:tcBorders>
                  <w:vAlign w:val="center"/>
                </w:tcPr>
                <w:p>
                  <w:pPr>
                    <w:spacing w:line="320" w:lineRule="exact"/>
                    <w:jc w:val="center"/>
                    <w:rPr>
                      <w:rFonts w:ascii="Times New Roman" w:hAnsi="Times New Roman" w:eastAsia="宋体" w:cs="Times New Roman"/>
                      <w:bCs/>
                      <w:szCs w:val="21"/>
                    </w:rPr>
                  </w:pPr>
                </w:p>
              </w:tc>
              <w:tc>
                <w:tcPr>
                  <w:tcW w:w="909" w:type="pct"/>
                  <w:tcBorders>
                    <w:top w:val="single" w:color="auto" w:sz="4" w:space="0"/>
                    <w:left w:val="single" w:color="auto" w:sz="4" w:space="0"/>
                    <w:bottom w:val="single" w:color="auto" w:sz="12" w:space="0"/>
                    <w:right w:val="nil"/>
                  </w:tcBorders>
                  <w:vAlign w:val="center"/>
                </w:tcPr>
                <w:p>
                  <w:pPr>
                    <w:spacing w:line="320" w:lineRule="exact"/>
                    <w:jc w:val="center"/>
                    <w:rPr>
                      <w:rFonts w:ascii="Times New Roman" w:hAnsi="Times New Roman" w:eastAsia="宋体" w:cs="Times New Roman"/>
                      <w:bCs/>
                      <w:szCs w:val="21"/>
                    </w:rPr>
                  </w:pPr>
                  <w:r>
                    <w:rPr>
                      <w:rFonts w:ascii="Times New Roman" w:hAnsi="Times New Roman" w:eastAsia="宋体" w:cs="Times New Roman"/>
                      <w:bCs/>
                      <w:szCs w:val="21"/>
                    </w:rPr>
                    <w:t>0.3×10</w:t>
                  </w:r>
                  <w:r>
                    <w:rPr>
                      <w:rFonts w:ascii="Times New Roman" w:hAnsi="Times New Roman" w:eastAsia="宋体" w:cs="Times New Roman"/>
                      <w:bCs/>
                      <w:szCs w:val="21"/>
                      <w:vertAlign w:val="superscript"/>
                    </w:rPr>
                    <w:t>-3</w:t>
                  </w:r>
                </w:p>
              </w:tc>
              <w:tc>
                <w:tcPr>
                  <w:tcW w:w="840" w:type="pct"/>
                  <w:tcBorders>
                    <w:top w:val="single" w:color="auto" w:sz="4" w:space="0"/>
                    <w:left w:val="single" w:color="auto" w:sz="4" w:space="0"/>
                    <w:bottom w:val="single" w:color="auto" w:sz="12" w:space="0"/>
                    <w:right w:val="nil"/>
                  </w:tcBorders>
                  <w:vAlign w:val="center"/>
                </w:tcPr>
                <w:p>
                  <w:pPr>
                    <w:spacing w:line="320" w:lineRule="exact"/>
                    <w:jc w:val="center"/>
                    <w:rPr>
                      <w:rFonts w:ascii="Times New Roman" w:hAnsi="Times New Roman" w:eastAsia="宋体" w:cs="Times New Roman"/>
                      <w:bCs/>
                      <w:szCs w:val="21"/>
                    </w:rPr>
                  </w:pPr>
                  <w:r>
                    <w:rPr>
                      <w:rFonts w:ascii="Times New Roman" w:hAnsi="Times New Roman" w:eastAsia="宋体" w:cs="Times New Roman"/>
                      <w:bCs/>
                      <w:szCs w:val="21"/>
                    </w:rPr>
                    <w:t>0.05×10</w:t>
                  </w:r>
                  <w:r>
                    <w:rPr>
                      <w:rFonts w:ascii="Times New Roman" w:hAnsi="Times New Roman" w:eastAsia="宋体" w:cs="Times New Roman"/>
                      <w:bCs/>
                      <w:szCs w:val="21"/>
                      <w:vertAlign w:val="superscript"/>
                    </w:rPr>
                    <w:t>-3</w:t>
                  </w:r>
                </w:p>
              </w:tc>
            </w:tr>
          </w:tbl>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rPr>
              <w:t>5、加热炉烟气排放执行</w:t>
            </w:r>
            <w:r>
              <w:rPr>
                <w:rFonts w:ascii="Times New Roman" w:hAnsi="Times New Roman" w:eastAsia="宋体" w:cs="Times New Roman"/>
                <w:szCs w:val="21"/>
              </w:rPr>
              <w:t>《工业炉窑大气污染物排放标准》(GB9078-1996）表2二级标准，见表1-5。</w:t>
            </w:r>
          </w:p>
          <w:p>
            <w:pPr>
              <w:spacing w:line="500" w:lineRule="exact"/>
              <w:ind w:firstLine="420" w:firstLineChars="200"/>
              <w:rPr>
                <w:rFonts w:ascii="Times New Roman" w:hAnsi="Times New Roman" w:eastAsia="黑体" w:cs="Times New Roman"/>
                <w:szCs w:val="21"/>
              </w:rPr>
            </w:pPr>
            <w:r>
              <w:rPr>
                <w:rFonts w:ascii="Times New Roman" w:hAnsi="Times New Roman" w:eastAsia="黑体" w:cs="Times New Roman"/>
                <w:szCs w:val="21"/>
              </w:rPr>
              <w:t>表1-5            工业炉窑大气污染物排放标准</w:t>
            </w:r>
          </w:p>
          <w:tbl>
            <w:tblPr>
              <w:tblStyle w:val="1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137"/>
              <w:gridCol w:w="2281"/>
              <w:gridCol w:w="252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trPr>
              <w:tc>
                <w:tcPr>
                  <w:tcW w:w="1539" w:type="pct"/>
                  <w:tcBorders>
                    <w:top w:val="single" w:color="auto" w:sz="12" w:space="0"/>
                    <w:left w:val="nil"/>
                    <w:bottom w:val="single" w:color="auto" w:sz="4" w:space="0"/>
                    <w:right w:val="single" w:color="auto" w:sz="4" w:space="0"/>
                  </w:tcBorders>
                  <w:vAlign w:val="center"/>
                </w:tcPr>
                <w:p>
                  <w:pPr>
                    <w:spacing w:line="320" w:lineRule="exact"/>
                    <w:jc w:val="center"/>
                    <w:rPr>
                      <w:rFonts w:ascii="Times New Roman" w:hAnsi="Times New Roman" w:eastAsia="黑体" w:cs="Times New Roman"/>
                      <w:szCs w:val="21"/>
                    </w:rPr>
                  </w:pPr>
                  <w:r>
                    <w:rPr>
                      <w:rFonts w:ascii="Times New Roman" w:hAnsi="Times New Roman" w:eastAsia="黑体" w:cs="Times New Roman"/>
                      <w:szCs w:val="21"/>
                    </w:rPr>
                    <w:t>污染物</w:t>
                  </w:r>
                </w:p>
              </w:tc>
              <w:tc>
                <w:tcPr>
                  <w:tcW w:w="1643" w:type="pct"/>
                  <w:tcBorders>
                    <w:top w:val="single" w:color="auto" w:sz="12" w:space="0"/>
                    <w:left w:val="single" w:color="auto" w:sz="4" w:space="0"/>
                    <w:bottom w:val="single" w:color="auto" w:sz="4" w:space="0"/>
                    <w:right w:val="single" w:color="auto" w:sz="4" w:space="0"/>
                  </w:tcBorders>
                  <w:vAlign w:val="center"/>
                </w:tcPr>
                <w:p>
                  <w:pPr>
                    <w:spacing w:line="320" w:lineRule="exact"/>
                    <w:jc w:val="center"/>
                    <w:rPr>
                      <w:rFonts w:ascii="Times New Roman" w:hAnsi="Times New Roman" w:eastAsia="黑体" w:cs="Times New Roman"/>
                      <w:szCs w:val="21"/>
                    </w:rPr>
                  </w:pPr>
                  <w:r>
                    <w:rPr>
                      <w:rFonts w:ascii="Times New Roman" w:hAnsi="Times New Roman" w:eastAsia="黑体" w:cs="Times New Roman"/>
                      <w:szCs w:val="21"/>
                    </w:rPr>
                    <w:t>排放源</w:t>
                  </w:r>
                </w:p>
              </w:tc>
              <w:tc>
                <w:tcPr>
                  <w:tcW w:w="1818" w:type="pct"/>
                  <w:tcBorders>
                    <w:top w:val="single" w:color="auto" w:sz="12" w:space="0"/>
                    <w:left w:val="single" w:color="auto" w:sz="4" w:space="0"/>
                    <w:bottom w:val="single" w:color="auto" w:sz="4" w:space="0"/>
                    <w:right w:val="nil"/>
                  </w:tcBorders>
                  <w:vAlign w:val="center"/>
                </w:tcPr>
                <w:p>
                  <w:pPr>
                    <w:spacing w:line="320" w:lineRule="exact"/>
                    <w:jc w:val="center"/>
                    <w:rPr>
                      <w:rFonts w:ascii="Times New Roman" w:hAnsi="Times New Roman" w:eastAsia="黑体" w:cs="Times New Roman"/>
                      <w:szCs w:val="21"/>
                    </w:rPr>
                  </w:pPr>
                  <w:r>
                    <w:rPr>
                      <w:rFonts w:ascii="Times New Roman" w:hAnsi="Times New Roman" w:eastAsia="黑体" w:cs="Times New Roman"/>
                      <w:szCs w:val="21"/>
                    </w:rPr>
                    <w:t>排放限值（mg/m</w:t>
                  </w:r>
                  <w:r>
                    <w:rPr>
                      <w:rFonts w:ascii="Times New Roman" w:hAnsi="Times New Roman" w:eastAsia="黑体" w:cs="Times New Roman"/>
                      <w:szCs w:val="21"/>
                      <w:vertAlign w:val="superscript"/>
                    </w:rPr>
                    <w:t>3</w:t>
                  </w:r>
                  <w:r>
                    <w:rPr>
                      <w:rFonts w:ascii="Times New Roman" w:hAnsi="Times New Roman" w:eastAsia="黑体" w:cs="Times New Roman"/>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39" w:type="pct"/>
                  <w:tcBorders>
                    <w:top w:val="single" w:color="auto" w:sz="4" w:space="0"/>
                    <w:left w:val="nil"/>
                    <w:bottom w:val="single" w:color="auto" w:sz="4" w:space="0"/>
                    <w:right w:val="single" w:color="auto" w:sz="4" w:space="0"/>
                  </w:tcBorders>
                  <w:vAlign w:val="center"/>
                </w:tcPr>
                <w:p>
                  <w:pPr>
                    <w:spacing w:line="320" w:lineRule="exact"/>
                    <w:jc w:val="center"/>
                    <w:rPr>
                      <w:rFonts w:ascii="Times New Roman" w:hAnsi="Times New Roman" w:eastAsia="宋体" w:cs="Times New Roman"/>
                      <w:bCs/>
                      <w:szCs w:val="21"/>
                    </w:rPr>
                  </w:pPr>
                  <w:r>
                    <w:rPr>
                      <w:rFonts w:ascii="Times New Roman" w:hAnsi="Times New Roman" w:eastAsia="宋体" w:cs="Times New Roman"/>
                      <w:szCs w:val="21"/>
                    </w:rPr>
                    <w:t>颗粒物</w:t>
                  </w:r>
                </w:p>
              </w:tc>
              <w:tc>
                <w:tcPr>
                  <w:tcW w:w="1643" w:type="pct"/>
                  <w:vMerge w:val="restart"/>
                  <w:tcBorders>
                    <w:top w:val="single" w:color="auto" w:sz="4" w:space="0"/>
                    <w:left w:val="single" w:color="auto" w:sz="4" w:space="0"/>
                    <w:right w:val="single" w:color="auto" w:sz="4" w:space="0"/>
                  </w:tcBorders>
                  <w:vAlign w:val="center"/>
                </w:tcPr>
                <w:p>
                  <w:pPr>
                    <w:spacing w:line="320" w:lineRule="exact"/>
                    <w:jc w:val="center"/>
                    <w:rPr>
                      <w:rFonts w:ascii="Times New Roman" w:hAnsi="Times New Roman" w:eastAsia="宋体" w:cs="Times New Roman"/>
                      <w:bCs/>
                      <w:szCs w:val="21"/>
                    </w:rPr>
                  </w:pPr>
                  <w:r>
                    <w:rPr>
                      <w:rFonts w:ascii="Times New Roman" w:hAnsi="Times New Roman" w:eastAsia="宋体" w:cs="Times New Roman"/>
                      <w:bCs/>
                      <w:szCs w:val="21"/>
                    </w:rPr>
                    <w:t>加热炉</w:t>
                  </w:r>
                  <w:r>
                    <w:rPr>
                      <w:rFonts w:ascii="Times New Roman" w:hAnsi="Times New Roman" w:eastAsia="宋体" w:cs="Times New Roman"/>
                      <w:szCs w:val="21"/>
                    </w:rPr>
                    <w:t>（非金属加热炉）</w:t>
                  </w:r>
                </w:p>
              </w:tc>
              <w:tc>
                <w:tcPr>
                  <w:tcW w:w="1818" w:type="pct"/>
                  <w:tcBorders>
                    <w:top w:val="single" w:color="auto" w:sz="4" w:space="0"/>
                    <w:left w:val="single" w:color="auto" w:sz="4" w:space="0"/>
                    <w:bottom w:val="single" w:color="auto" w:sz="4" w:space="0"/>
                    <w:right w:val="nil"/>
                  </w:tcBorders>
                  <w:vAlign w:val="center"/>
                </w:tcPr>
                <w:p>
                  <w:pPr>
                    <w:spacing w:line="320" w:lineRule="exact"/>
                    <w:jc w:val="center"/>
                    <w:rPr>
                      <w:rFonts w:ascii="Times New Roman" w:hAnsi="Times New Roman" w:eastAsia="宋体" w:cs="Times New Roman"/>
                      <w:bCs/>
                      <w:szCs w:val="21"/>
                    </w:rPr>
                  </w:pPr>
                  <w:r>
                    <w:rPr>
                      <w:rFonts w:ascii="Times New Roman" w:hAnsi="Times New Roman" w:eastAsia="宋体" w:cs="Times New Roman"/>
                      <w:bCs/>
                      <w:szCs w:val="21"/>
                    </w:rPr>
                    <w:t>200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trPr>
              <w:tc>
                <w:tcPr>
                  <w:tcW w:w="1539" w:type="pct"/>
                  <w:tcBorders>
                    <w:top w:val="single" w:color="auto" w:sz="4" w:space="0"/>
                    <w:left w:val="nil"/>
                    <w:bottom w:val="single" w:color="auto" w:sz="12" w:space="0"/>
                    <w:right w:val="single" w:color="auto" w:sz="4" w:space="0"/>
                  </w:tcBorders>
                  <w:vAlign w:val="center"/>
                </w:tcPr>
                <w:p>
                  <w:pPr>
                    <w:spacing w:line="320" w:lineRule="exact"/>
                    <w:jc w:val="center"/>
                    <w:rPr>
                      <w:rFonts w:ascii="Times New Roman" w:hAnsi="Times New Roman" w:eastAsia="宋体" w:cs="Times New Roman"/>
                      <w:bCs/>
                      <w:szCs w:val="21"/>
                    </w:rPr>
                  </w:pPr>
                  <w:r>
                    <w:rPr>
                      <w:rFonts w:ascii="Times New Roman" w:hAnsi="Times New Roman" w:eastAsia="宋体" w:cs="Times New Roman"/>
                      <w:szCs w:val="21"/>
                    </w:rPr>
                    <w:t>二氧化硫</w:t>
                  </w:r>
                </w:p>
              </w:tc>
              <w:tc>
                <w:tcPr>
                  <w:tcW w:w="1643" w:type="pct"/>
                  <w:vMerge w:val="continue"/>
                  <w:tcBorders>
                    <w:left w:val="single" w:color="auto" w:sz="4" w:space="0"/>
                    <w:bottom w:val="single" w:color="auto" w:sz="12" w:space="0"/>
                    <w:right w:val="single" w:color="auto" w:sz="4" w:space="0"/>
                  </w:tcBorders>
                  <w:vAlign w:val="center"/>
                </w:tcPr>
                <w:p>
                  <w:pPr>
                    <w:spacing w:line="320" w:lineRule="exact"/>
                    <w:jc w:val="center"/>
                    <w:rPr>
                      <w:rFonts w:ascii="Times New Roman" w:hAnsi="Times New Roman" w:eastAsia="宋体" w:cs="Times New Roman"/>
                      <w:bCs/>
                      <w:szCs w:val="21"/>
                    </w:rPr>
                  </w:pPr>
                </w:p>
              </w:tc>
              <w:tc>
                <w:tcPr>
                  <w:tcW w:w="1818" w:type="pct"/>
                  <w:tcBorders>
                    <w:top w:val="single" w:color="auto" w:sz="4" w:space="0"/>
                    <w:left w:val="single" w:color="auto" w:sz="4" w:space="0"/>
                    <w:bottom w:val="single" w:color="auto" w:sz="12" w:space="0"/>
                    <w:right w:val="nil"/>
                  </w:tcBorders>
                  <w:vAlign w:val="center"/>
                </w:tcPr>
                <w:p>
                  <w:pPr>
                    <w:spacing w:line="320" w:lineRule="exact"/>
                    <w:jc w:val="center"/>
                    <w:rPr>
                      <w:rFonts w:ascii="Times New Roman" w:hAnsi="Times New Roman" w:eastAsia="宋体" w:cs="Times New Roman"/>
                      <w:bCs/>
                      <w:szCs w:val="21"/>
                    </w:rPr>
                  </w:pPr>
                  <w:r>
                    <w:rPr>
                      <w:rFonts w:ascii="Times New Roman" w:hAnsi="Times New Roman" w:eastAsia="宋体" w:cs="Times New Roman"/>
                      <w:bCs/>
                      <w:szCs w:val="21"/>
                    </w:rPr>
                    <w:t>850</w:t>
                  </w:r>
                </w:p>
              </w:tc>
            </w:tr>
          </w:tbl>
          <w:p>
            <w:pPr>
              <w:spacing w:line="500" w:lineRule="exact"/>
              <w:ind w:firstLine="420" w:firstLineChars="200"/>
              <w:rPr>
                <w:rFonts w:ascii="Times New Roman" w:hAnsi="Times New Roman" w:eastAsia="宋体" w:cs="Times New Roman"/>
                <w:szCs w:val="21"/>
              </w:rPr>
            </w:pPr>
            <w:r>
              <w:rPr>
                <w:rFonts w:ascii="Times New Roman" w:hAnsi="Times New Roman" w:cs="Times New Roman"/>
                <w:szCs w:val="21"/>
              </w:rPr>
              <w:t>6、运营期厂界噪声执行</w:t>
            </w:r>
            <w:r>
              <w:rPr>
                <w:rFonts w:ascii="Times New Roman" w:hAnsi="Times New Roman" w:eastAsia="宋体" w:cs="Times New Roman"/>
                <w:szCs w:val="21"/>
              </w:rPr>
              <w:t>《工业企业厂界环境噪声排放标准》(GB12348-2008）表1中2类标准，见表1-6。</w:t>
            </w:r>
          </w:p>
          <w:p>
            <w:pPr>
              <w:spacing w:line="500" w:lineRule="exact"/>
              <w:ind w:firstLine="420" w:firstLineChars="200"/>
              <w:rPr>
                <w:rFonts w:ascii="Times New Roman" w:hAnsi="Times New Roman" w:eastAsia="黑体" w:cs="Times New Roman"/>
                <w:szCs w:val="21"/>
              </w:rPr>
            </w:pPr>
            <w:r>
              <w:rPr>
                <w:rFonts w:ascii="Times New Roman" w:hAnsi="Times New Roman" w:eastAsia="黑体" w:cs="Times New Roman"/>
                <w:szCs w:val="21"/>
              </w:rPr>
              <w:t>表1-6           工业企业厂界环境噪声排放标准    单位：dB（A）</w:t>
            </w:r>
          </w:p>
          <w:tbl>
            <w:tblPr>
              <w:tblStyle w:val="18"/>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312"/>
              <w:gridCol w:w="2314"/>
              <w:gridCol w:w="231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665" w:type="pct"/>
                  <w:tcBorders>
                    <w:top w:val="single" w:color="auto" w:sz="12" w:space="0"/>
                    <w:left w:val="nil"/>
                    <w:bottom w:val="single" w:color="auto" w:sz="4" w:space="0"/>
                    <w:right w:val="single" w:color="auto" w:sz="4" w:space="0"/>
                  </w:tcBorders>
                  <w:vAlign w:val="center"/>
                </w:tcPr>
                <w:p>
                  <w:pPr>
                    <w:spacing w:line="320" w:lineRule="exact"/>
                    <w:jc w:val="center"/>
                    <w:rPr>
                      <w:rFonts w:ascii="Times New Roman" w:hAnsi="Times New Roman" w:eastAsia="黑体" w:cs="Times New Roman"/>
                      <w:szCs w:val="21"/>
                    </w:rPr>
                  </w:pPr>
                  <w:r>
                    <w:rPr>
                      <w:rFonts w:ascii="Times New Roman" w:hAnsi="Times New Roman" w:eastAsia="黑体" w:cs="Times New Roman"/>
                      <w:szCs w:val="21"/>
                    </w:rPr>
                    <w:t>类别</w:t>
                  </w:r>
                </w:p>
              </w:tc>
              <w:tc>
                <w:tcPr>
                  <w:tcW w:w="1667" w:type="pct"/>
                  <w:tcBorders>
                    <w:top w:val="single" w:color="auto" w:sz="12" w:space="0"/>
                    <w:left w:val="single" w:color="auto" w:sz="4" w:space="0"/>
                    <w:bottom w:val="single" w:color="auto" w:sz="4" w:space="0"/>
                    <w:right w:val="single" w:color="auto" w:sz="4" w:space="0"/>
                  </w:tcBorders>
                  <w:vAlign w:val="center"/>
                </w:tcPr>
                <w:p>
                  <w:pPr>
                    <w:spacing w:line="320" w:lineRule="exact"/>
                    <w:jc w:val="center"/>
                    <w:rPr>
                      <w:rFonts w:ascii="Times New Roman" w:hAnsi="Times New Roman" w:eastAsia="黑体" w:cs="Times New Roman"/>
                      <w:szCs w:val="21"/>
                    </w:rPr>
                  </w:pPr>
                  <w:r>
                    <w:rPr>
                      <w:rFonts w:ascii="Times New Roman" w:hAnsi="Times New Roman" w:eastAsia="黑体" w:cs="Times New Roman"/>
                      <w:szCs w:val="21"/>
                    </w:rPr>
                    <w:t>昼间</w:t>
                  </w:r>
                </w:p>
              </w:tc>
              <w:tc>
                <w:tcPr>
                  <w:tcW w:w="1667" w:type="pct"/>
                  <w:tcBorders>
                    <w:top w:val="single" w:color="auto" w:sz="12" w:space="0"/>
                    <w:left w:val="single" w:color="auto" w:sz="4" w:space="0"/>
                    <w:bottom w:val="single" w:color="auto" w:sz="4" w:space="0"/>
                    <w:right w:val="nil"/>
                  </w:tcBorders>
                  <w:vAlign w:val="center"/>
                </w:tcPr>
                <w:p>
                  <w:pPr>
                    <w:spacing w:line="320" w:lineRule="exact"/>
                    <w:jc w:val="center"/>
                    <w:rPr>
                      <w:rFonts w:ascii="Times New Roman" w:hAnsi="Times New Roman" w:eastAsia="黑体" w:cs="Times New Roman"/>
                      <w:szCs w:val="21"/>
                    </w:rPr>
                  </w:pPr>
                  <w:r>
                    <w:rPr>
                      <w:rFonts w:ascii="Times New Roman" w:hAnsi="Times New Roman" w:eastAsia="黑体" w:cs="Times New Roman"/>
                      <w:szCs w:val="21"/>
                    </w:rPr>
                    <w:t>夜间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665" w:type="pct"/>
                  <w:tcBorders>
                    <w:top w:val="single" w:color="auto" w:sz="4" w:space="0"/>
                    <w:left w:val="nil"/>
                    <w:bottom w:val="single" w:color="auto" w:sz="12" w:space="0"/>
                    <w:right w:val="single" w:color="auto" w:sz="4" w:space="0"/>
                  </w:tcBorders>
                  <w:vAlign w:val="center"/>
                </w:tcPr>
                <w:p>
                  <w:pPr>
                    <w:spacing w:line="320" w:lineRule="exact"/>
                    <w:jc w:val="center"/>
                    <w:rPr>
                      <w:rFonts w:ascii="Times New Roman" w:hAnsi="Times New Roman" w:eastAsia="宋体" w:cs="Times New Roman"/>
                      <w:bCs/>
                      <w:szCs w:val="21"/>
                    </w:rPr>
                  </w:pPr>
                  <w:r>
                    <w:rPr>
                      <w:rFonts w:ascii="Times New Roman" w:hAnsi="Times New Roman" w:eastAsia="宋体" w:cs="Times New Roman"/>
                      <w:bCs/>
                      <w:szCs w:val="21"/>
                    </w:rPr>
                    <w:t>3类</w:t>
                  </w:r>
                </w:p>
              </w:tc>
              <w:tc>
                <w:tcPr>
                  <w:tcW w:w="1667" w:type="pct"/>
                  <w:tcBorders>
                    <w:top w:val="single" w:color="auto" w:sz="4" w:space="0"/>
                    <w:left w:val="single" w:color="auto" w:sz="4" w:space="0"/>
                    <w:bottom w:val="single" w:color="auto" w:sz="12" w:space="0"/>
                    <w:right w:val="single" w:color="auto" w:sz="4" w:space="0"/>
                  </w:tcBorders>
                  <w:vAlign w:val="center"/>
                </w:tcPr>
                <w:p>
                  <w:pPr>
                    <w:spacing w:line="320" w:lineRule="exact"/>
                    <w:jc w:val="center"/>
                    <w:rPr>
                      <w:rFonts w:ascii="Times New Roman" w:hAnsi="Times New Roman" w:eastAsia="宋体" w:cs="Times New Roman"/>
                      <w:bCs/>
                      <w:szCs w:val="21"/>
                    </w:rPr>
                  </w:pPr>
                  <w:r>
                    <w:rPr>
                      <w:rFonts w:ascii="Times New Roman" w:hAnsi="Times New Roman" w:eastAsia="宋体" w:cs="Times New Roman"/>
                      <w:bCs/>
                      <w:szCs w:val="21"/>
                    </w:rPr>
                    <w:t>65</w:t>
                  </w:r>
                </w:p>
              </w:tc>
              <w:tc>
                <w:tcPr>
                  <w:tcW w:w="1667" w:type="pct"/>
                  <w:tcBorders>
                    <w:top w:val="single" w:color="auto" w:sz="4" w:space="0"/>
                    <w:left w:val="single" w:color="auto" w:sz="4" w:space="0"/>
                    <w:bottom w:val="single" w:color="auto" w:sz="12" w:space="0"/>
                    <w:right w:val="nil"/>
                  </w:tcBorders>
                  <w:vAlign w:val="center"/>
                </w:tcPr>
                <w:p>
                  <w:pPr>
                    <w:spacing w:line="320" w:lineRule="exact"/>
                    <w:jc w:val="center"/>
                    <w:rPr>
                      <w:rFonts w:ascii="Times New Roman" w:hAnsi="Times New Roman" w:eastAsia="宋体" w:cs="Times New Roman"/>
                      <w:bCs/>
                      <w:szCs w:val="21"/>
                    </w:rPr>
                  </w:pPr>
                  <w:r>
                    <w:rPr>
                      <w:rFonts w:ascii="Times New Roman" w:hAnsi="Times New Roman" w:eastAsia="宋体" w:cs="Times New Roman"/>
                      <w:bCs/>
                      <w:szCs w:val="21"/>
                    </w:rPr>
                    <w:t>55</w:t>
                  </w:r>
                </w:p>
              </w:tc>
            </w:tr>
          </w:tbl>
          <w:p>
            <w:pPr>
              <w:pStyle w:val="25"/>
              <w:widowControl/>
              <w:adjustRightInd w:val="0"/>
              <w:snapToGrid w:val="0"/>
              <w:spacing w:line="500" w:lineRule="exact"/>
              <w:ind w:firstLine="420" w:firstLineChars="200"/>
              <w:rPr>
                <w:rFonts w:hAnsi="Times New Roman" w:eastAsia="宋体" w:cs="Times New Roman"/>
                <w:kern w:val="0"/>
                <w:szCs w:val="21"/>
              </w:rPr>
            </w:pPr>
            <w:r>
              <w:rPr>
                <w:rFonts w:hAnsi="Times New Roman" w:eastAsia="宋体" w:cs="Times New Roman"/>
                <w:kern w:val="0"/>
                <w:szCs w:val="21"/>
              </w:rPr>
              <w:t>7、</w:t>
            </w:r>
            <w:r>
              <w:rPr>
                <w:rFonts w:hAnsi="Times New Roman" w:cs="Times New Roman"/>
              </w:rPr>
              <w:t>水污染物排放标准</w:t>
            </w:r>
          </w:p>
          <w:p>
            <w:pPr>
              <w:spacing w:line="500" w:lineRule="exact"/>
              <w:ind w:firstLine="420" w:firstLineChars="200"/>
              <w:rPr>
                <w:rFonts w:ascii="Times New Roman" w:hAnsi="Times New Roman" w:eastAsia="黑体" w:cs="Times New Roman"/>
                <w:szCs w:val="21"/>
              </w:rPr>
            </w:pPr>
            <w:r>
              <w:rPr>
                <w:rFonts w:ascii="Times New Roman" w:hAnsi="Times New Roman" w:eastAsia="黑体" w:cs="Times New Roman"/>
                <w:szCs w:val="21"/>
              </w:rPr>
              <w:t>表1-7                项目废水排放执行标准</w:t>
            </w:r>
          </w:p>
          <w:tbl>
            <w:tblPr>
              <w:tblStyle w:val="1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320"/>
              <w:gridCol w:w="2292"/>
              <w:gridCol w:w="233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71" w:type="pct"/>
                  <w:vAlign w:val="center"/>
                </w:tcPr>
                <w:p>
                  <w:pPr>
                    <w:spacing w:line="320" w:lineRule="exact"/>
                    <w:jc w:val="center"/>
                    <w:rPr>
                      <w:rFonts w:ascii="Times New Roman" w:hAnsi="Times New Roman" w:cs="Times New Roman"/>
                      <w:bCs/>
                      <w:szCs w:val="21"/>
                    </w:rPr>
                  </w:pPr>
                  <w:r>
                    <w:rPr>
                      <w:rFonts w:ascii="Times New Roman" w:hAnsi="Times New Roman" w:cs="Times New Roman"/>
                      <w:bCs/>
                      <w:szCs w:val="21"/>
                    </w:rPr>
                    <w:t>污染物名称</w:t>
                  </w:r>
                </w:p>
              </w:tc>
              <w:tc>
                <w:tcPr>
                  <w:tcW w:w="1651" w:type="pct"/>
                  <w:vAlign w:val="center"/>
                </w:tcPr>
                <w:p>
                  <w:pPr>
                    <w:spacing w:line="320" w:lineRule="exact"/>
                    <w:jc w:val="center"/>
                    <w:rPr>
                      <w:rFonts w:ascii="Times New Roman" w:hAnsi="Times New Roman" w:cs="Times New Roman"/>
                      <w:bCs/>
                      <w:szCs w:val="21"/>
                    </w:rPr>
                  </w:pPr>
                  <w:r>
                    <w:rPr>
                      <w:rFonts w:ascii="Times New Roman" w:hAnsi="Times New Roman" w:cs="Times New Roman"/>
                      <w:bCs/>
                      <w:szCs w:val="21"/>
                    </w:rPr>
                    <w:t>浓度限值</w:t>
                  </w:r>
                </w:p>
              </w:tc>
              <w:tc>
                <w:tcPr>
                  <w:tcW w:w="1678" w:type="pct"/>
                  <w:vAlign w:val="center"/>
                </w:tcPr>
                <w:p>
                  <w:pPr>
                    <w:spacing w:line="320" w:lineRule="exact"/>
                    <w:jc w:val="center"/>
                    <w:rPr>
                      <w:rFonts w:ascii="Times New Roman" w:hAnsi="Times New Roman" w:cs="Times New Roman"/>
                      <w:bCs/>
                      <w:szCs w:val="21"/>
                    </w:rPr>
                  </w:pPr>
                  <w:r>
                    <w:rPr>
                      <w:rFonts w:ascii="Times New Roman" w:hAnsi="Times New Roman" w:cs="Times New Roman"/>
                      <w:bCs/>
                      <w:szCs w:val="21"/>
                    </w:rPr>
                    <w:t>单位</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71" w:type="pct"/>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COD</w:t>
                  </w:r>
                </w:p>
              </w:tc>
              <w:tc>
                <w:tcPr>
                  <w:tcW w:w="1651" w:type="pct"/>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500</w:t>
                  </w:r>
                </w:p>
              </w:tc>
              <w:tc>
                <w:tcPr>
                  <w:tcW w:w="1678" w:type="pct"/>
                  <w:vMerge w:val="restart"/>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mg/L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71" w:type="pct"/>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氨氮</w:t>
                  </w:r>
                </w:p>
              </w:tc>
              <w:tc>
                <w:tcPr>
                  <w:tcW w:w="1651" w:type="pct"/>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w:t>
                  </w:r>
                </w:p>
              </w:tc>
              <w:tc>
                <w:tcPr>
                  <w:tcW w:w="1678" w:type="pct"/>
                  <w:vMerge w:val="continue"/>
                  <w:vAlign w:val="center"/>
                </w:tcPr>
                <w:p>
                  <w:pPr>
                    <w:widowControl/>
                    <w:jc w:val="left"/>
                    <w:rPr>
                      <w:rFonts w:ascii="Times New Roman" w:hAnsi="Times New Roman" w:cs="Times New Roman"/>
                      <w:szCs w:val="21"/>
                    </w:rPr>
                  </w:pPr>
                </w:p>
              </w:tc>
            </w:tr>
          </w:tbl>
          <w:p>
            <w:pPr>
              <w:spacing w:line="500" w:lineRule="exact"/>
              <w:ind w:firstLine="420" w:firstLineChars="200"/>
              <w:rPr>
                <w:rFonts w:ascii="Times New Roman" w:hAnsi="Times New Roman" w:cs="Times New Roman"/>
                <w:b/>
              </w:rPr>
            </w:pPr>
            <w:r>
              <w:rPr>
                <w:rFonts w:ascii="Times New Roman" w:hAnsi="Times New Roman" w:eastAsia="黑体" w:cs="Times New Roman"/>
                <w:szCs w:val="21"/>
              </w:rPr>
              <w:t>表1-8       大庆市东城区污水处理厂进出水水质标准    单位：mg/L</w:t>
            </w:r>
            <w:r>
              <w:rPr>
                <w:rFonts w:ascii="Times New Roman" w:hAnsi="Times New Roman" w:cs="Times New Roman"/>
                <w:b/>
              </w:rPr>
              <w:t xml:space="preserve"> </w:t>
            </w:r>
          </w:p>
          <w:tbl>
            <w:tblPr>
              <w:tblStyle w:val="18"/>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46"/>
              <w:gridCol w:w="1217"/>
              <w:gridCol w:w="1241"/>
              <w:gridCol w:w="1048"/>
              <w:gridCol w:w="1281"/>
              <w:gridCol w:w="90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78" w:type="dxa"/>
                  <w:tcBorders>
                    <w:top w:val="single" w:color="auto" w:sz="12" w:space="0"/>
                    <w:left w:val="nil"/>
                    <w:bottom w:val="single" w:color="auto" w:sz="4" w:space="0"/>
                    <w:right w:val="single" w:color="auto" w:sz="4" w:space="0"/>
                  </w:tcBorders>
                  <w:vAlign w:val="center"/>
                </w:tcPr>
                <w:p>
                  <w:pPr>
                    <w:spacing w:line="320" w:lineRule="exact"/>
                    <w:jc w:val="center"/>
                    <w:rPr>
                      <w:rFonts w:ascii="Times New Roman" w:hAnsi="Times New Roman" w:cs="Times New Roman"/>
                      <w:bCs/>
                      <w:szCs w:val="21"/>
                    </w:rPr>
                  </w:pPr>
                </w:p>
              </w:tc>
              <w:tc>
                <w:tcPr>
                  <w:tcW w:w="1510" w:type="dxa"/>
                  <w:tcBorders>
                    <w:top w:val="single" w:color="auto" w:sz="12" w:space="0"/>
                    <w:left w:val="single" w:color="auto" w:sz="4" w:space="0"/>
                    <w:bottom w:val="single" w:color="auto" w:sz="4" w:space="0"/>
                    <w:right w:val="single" w:color="auto" w:sz="4" w:space="0"/>
                  </w:tcBorders>
                  <w:vAlign w:val="center"/>
                </w:tcPr>
                <w:p>
                  <w:pPr>
                    <w:spacing w:line="320" w:lineRule="exact"/>
                    <w:jc w:val="center"/>
                    <w:rPr>
                      <w:rFonts w:ascii="Times New Roman" w:hAnsi="Times New Roman" w:cs="Times New Roman"/>
                      <w:bCs/>
                      <w:szCs w:val="21"/>
                    </w:rPr>
                  </w:pPr>
                  <w:r>
                    <w:rPr>
                      <w:rFonts w:ascii="Times New Roman" w:hAnsi="Times New Roman" w:cs="Times New Roman"/>
                      <w:bCs/>
                      <w:szCs w:val="21"/>
                    </w:rPr>
                    <w:t>COD</w:t>
                  </w:r>
                </w:p>
              </w:tc>
              <w:tc>
                <w:tcPr>
                  <w:tcW w:w="1510" w:type="dxa"/>
                  <w:tcBorders>
                    <w:top w:val="single" w:color="auto" w:sz="12" w:space="0"/>
                    <w:left w:val="single" w:color="auto" w:sz="4" w:space="0"/>
                    <w:bottom w:val="single" w:color="auto" w:sz="4" w:space="0"/>
                    <w:right w:val="single" w:color="auto" w:sz="4" w:space="0"/>
                  </w:tcBorders>
                  <w:vAlign w:val="center"/>
                </w:tcPr>
                <w:p>
                  <w:pPr>
                    <w:spacing w:line="320" w:lineRule="exact"/>
                    <w:jc w:val="center"/>
                    <w:rPr>
                      <w:rFonts w:ascii="Times New Roman" w:hAnsi="Times New Roman" w:cs="Times New Roman"/>
                      <w:bCs/>
                      <w:szCs w:val="21"/>
                    </w:rPr>
                  </w:pPr>
                  <w:r>
                    <w:rPr>
                      <w:rFonts w:ascii="Times New Roman" w:hAnsi="Times New Roman" w:cs="Times New Roman"/>
                      <w:bCs/>
                      <w:szCs w:val="21"/>
                    </w:rPr>
                    <w:t>BOD</w:t>
                  </w:r>
                  <w:r>
                    <w:rPr>
                      <w:rFonts w:ascii="Times New Roman" w:hAnsi="Times New Roman" w:cs="Times New Roman"/>
                      <w:bCs/>
                      <w:szCs w:val="21"/>
                      <w:vertAlign w:val="subscript"/>
                    </w:rPr>
                    <w:t>5</w:t>
                  </w:r>
                </w:p>
              </w:tc>
              <w:tc>
                <w:tcPr>
                  <w:tcW w:w="1319" w:type="dxa"/>
                  <w:tcBorders>
                    <w:top w:val="single" w:color="auto" w:sz="12" w:space="0"/>
                    <w:left w:val="single" w:color="auto" w:sz="4" w:space="0"/>
                    <w:bottom w:val="single" w:color="auto" w:sz="4" w:space="0"/>
                    <w:right w:val="single" w:color="auto" w:sz="4" w:space="0"/>
                  </w:tcBorders>
                  <w:vAlign w:val="center"/>
                </w:tcPr>
                <w:p>
                  <w:pPr>
                    <w:spacing w:line="320" w:lineRule="exact"/>
                    <w:jc w:val="center"/>
                    <w:rPr>
                      <w:rFonts w:ascii="Times New Roman" w:hAnsi="Times New Roman" w:cs="Times New Roman"/>
                      <w:bCs/>
                      <w:szCs w:val="21"/>
                    </w:rPr>
                  </w:pPr>
                  <w:r>
                    <w:rPr>
                      <w:rFonts w:ascii="Times New Roman" w:hAnsi="Times New Roman" w:cs="Times New Roman"/>
                      <w:bCs/>
                      <w:szCs w:val="21"/>
                    </w:rPr>
                    <w:t>SS</w:t>
                  </w:r>
                </w:p>
              </w:tc>
              <w:tc>
                <w:tcPr>
                  <w:tcW w:w="1510" w:type="dxa"/>
                  <w:tcBorders>
                    <w:top w:val="single" w:color="auto" w:sz="12" w:space="0"/>
                    <w:left w:val="single" w:color="auto" w:sz="4" w:space="0"/>
                    <w:bottom w:val="single" w:color="auto" w:sz="4" w:space="0"/>
                    <w:right w:val="single" w:color="auto" w:sz="4" w:space="0"/>
                  </w:tcBorders>
                  <w:vAlign w:val="center"/>
                </w:tcPr>
                <w:p>
                  <w:pPr>
                    <w:spacing w:line="320" w:lineRule="exact"/>
                    <w:jc w:val="center"/>
                    <w:rPr>
                      <w:rFonts w:ascii="Times New Roman" w:hAnsi="Times New Roman" w:cs="Times New Roman"/>
                      <w:bCs/>
                      <w:szCs w:val="21"/>
                    </w:rPr>
                  </w:pPr>
                  <w:r>
                    <w:rPr>
                      <w:rFonts w:ascii="Times New Roman" w:hAnsi="Times New Roman" w:cs="Times New Roman"/>
                      <w:bCs/>
                      <w:szCs w:val="21"/>
                    </w:rPr>
                    <w:t>NH</w:t>
                  </w:r>
                  <w:r>
                    <w:rPr>
                      <w:rFonts w:ascii="Times New Roman" w:hAnsi="Times New Roman" w:cs="Times New Roman"/>
                      <w:bCs/>
                      <w:szCs w:val="21"/>
                      <w:vertAlign w:val="subscript"/>
                    </w:rPr>
                    <w:t>3</w:t>
                  </w:r>
                  <w:r>
                    <w:rPr>
                      <w:rFonts w:ascii="Times New Roman" w:hAnsi="Times New Roman" w:cs="Times New Roman"/>
                      <w:bCs/>
                      <w:szCs w:val="21"/>
                    </w:rPr>
                    <w:t>-N</w:t>
                  </w:r>
                </w:p>
              </w:tc>
              <w:tc>
                <w:tcPr>
                  <w:tcW w:w="1052" w:type="dxa"/>
                  <w:tcBorders>
                    <w:top w:val="single" w:color="auto" w:sz="12" w:space="0"/>
                    <w:left w:val="single" w:color="auto" w:sz="4" w:space="0"/>
                    <w:bottom w:val="single" w:color="auto" w:sz="4" w:space="0"/>
                    <w:right w:val="nil"/>
                  </w:tcBorders>
                  <w:vAlign w:val="center"/>
                </w:tcPr>
                <w:p>
                  <w:pPr>
                    <w:spacing w:line="320" w:lineRule="exact"/>
                    <w:jc w:val="center"/>
                    <w:rPr>
                      <w:rFonts w:ascii="Times New Roman" w:hAnsi="Times New Roman" w:cs="Times New Roman"/>
                      <w:bCs/>
                      <w:szCs w:val="21"/>
                    </w:rPr>
                  </w:pPr>
                  <w:r>
                    <w:rPr>
                      <w:rFonts w:ascii="Times New Roman" w:hAnsi="Times New Roman" w:cs="Times New Roman"/>
                      <w:bCs/>
                      <w:szCs w:val="21"/>
                    </w:rPr>
                    <w:t>pH</w:t>
                  </w:r>
                  <w:r>
                    <w:rPr>
                      <w:rFonts w:ascii="Times New Roman" w:hAnsi="Times New Roman" w:cs="Times New Roman"/>
                      <w:bCs/>
                    </w:rPr>
                    <w:t>（无量纲）</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78" w:type="dxa"/>
                  <w:tcBorders>
                    <w:top w:val="single" w:color="auto" w:sz="4" w:space="0"/>
                    <w:left w:val="nil"/>
                    <w:bottom w:val="single" w:color="auto" w:sz="4" w:space="0"/>
                    <w:right w:val="single" w:color="auto" w:sz="4" w:space="0"/>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设计进水</w:t>
                  </w:r>
                </w:p>
              </w:tc>
              <w:tc>
                <w:tcPr>
                  <w:tcW w:w="1510"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400</w:t>
                  </w:r>
                </w:p>
              </w:tc>
              <w:tc>
                <w:tcPr>
                  <w:tcW w:w="1510"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200</w:t>
                  </w:r>
                </w:p>
              </w:tc>
              <w:tc>
                <w:tcPr>
                  <w:tcW w:w="1319"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250</w:t>
                  </w:r>
                </w:p>
              </w:tc>
              <w:tc>
                <w:tcPr>
                  <w:tcW w:w="1510" w:type="dxa"/>
                  <w:tcBorders>
                    <w:top w:val="single" w:color="auto" w:sz="4" w:space="0"/>
                    <w:left w:val="single" w:color="auto" w:sz="4" w:space="0"/>
                    <w:bottom w:val="single" w:color="auto" w:sz="4" w:space="0"/>
                    <w:right w:val="single" w:color="auto" w:sz="4" w:space="0"/>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30</w:t>
                  </w:r>
                </w:p>
              </w:tc>
              <w:tc>
                <w:tcPr>
                  <w:tcW w:w="1052" w:type="dxa"/>
                  <w:tcBorders>
                    <w:top w:val="single" w:color="auto" w:sz="4" w:space="0"/>
                    <w:left w:val="single" w:color="auto" w:sz="4" w:space="0"/>
                    <w:bottom w:val="single" w:color="auto" w:sz="4" w:space="0"/>
                    <w:right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6-9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78" w:type="dxa"/>
                  <w:tcBorders>
                    <w:top w:val="single" w:color="auto" w:sz="4" w:space="0"/>
                    <w:left w:val="nil"/>
                    <w:bottom w:val="single" w:color="auto" w:sz="12" w:space="0"/>
                    <w:right w:val="single" w:color="auto" w:sz="4" w:space="0"/>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设计出水</w:t>
                  </w:r>
                </w:p>
              </w:tc>
              <w:tc>
                <w:tcPr>
                  <w:tcW w:w="1510" w:type="dxa"/>
                  <w:tcBorders>
                    <w:top w:val="single" w:color="auto" w:sz="4" w:space="0"/>
                    <w:left w:val="single" w:color="auto" w:sz="4" w:space="0"/>
                    <w:bottom w:val="single" w:color="auto" w:sz="12" w:space="0"/>
                    <w:right w:val="single" w:color="auto" w:sz="4" w:space="0"/>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50</w:t>
                  </w:r>
                </w:p>
              </w:tc>
              <w:tc>
                <w:tcPr>
                  <w:tcW w:w="1510" w:type="dxa"/>
                  <w:tcBorders>
                    <w:top w:val="single" w:color="auto" w:sz="4" w:space="0"/>
                    <w:left w:val="single" w:color="auto" w:sz="4" w:space="0"/>
                    <w:bottom w:val="single" w:color="auto" w:sz="12" w:space="0"/>
                    <w:right w:val="single" w:color="auto" w:sz="4" w:space="0"/>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10</w:t>
                  </w:r>
                </w:p>
              </w:tc>
              <w:tc>
                <w:tcPr>
                  <w:tcW w:w="1319" w:type="dxa"/>
                  <w:tcBorders>
                    <w:top w:val="single" w:color="auto" w:sz="4" w:space="0"/>
                    <w:left w:val="single" w:color="auto" w:sz="4" w:space="0"/>
                    <w:bottom w:val="single" w:color="auto" w:sz="12" w:space="0"/>
                    <w:right w:val="single" w:color="auto" w:sz="4" w:space="0"/>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10</w:t>
                  </w:r>
                </w:p>
              </w:tc>
              <w:tc>
                <w:tcPr>
                  <w:tcW w:w="1510" w:type="dxa"/>
                  <w:tcBorders>
                    <w:top w:val="single" w:color="auto" w:sz="4" w:space="0"/>
                    <w:left w:val="single" w:color="auto" w:sz="4" w:space="0"/>
                    <w:bottom w:val="single" w:color="auto" w:sz="12" w:space="0"/>
                    <w:right w:val="single" w:color="auto" w:sz="4" w:space="0"/>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8（15）</w:t>
                  </w:r>
                </w:p>
              </w:tc>
              <w:tc>
                <w:tcPr>
                  <w:tcW w:w="1052" w:type="dxa"/>
                  <w:tcBorders>
                    <w:top w:val="single" w:color="auto" w:sz="4" w:space="0"/>
                    <w:left w:val="single" w:color="auto" w:sz="4" w:space="0"/>
                    <w:bottom w:val="single" w:color="auto" w:sz="12" w:space="0"/>
                    <w:right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6-9</w:t>
                  </w:r>
                </w:p>
              </w:tc>
            </w:tr>
          </w:tbl>
          <w:p>
            <w:pPr>
              <w:widowControl/>
              <w:adjustRightInd w:val="0"/>
              <w:snapToGrid w:val="0"/>
              <w:spacing w:line="500" w:lineRule="exact"/>
              <w:ind w:firstLine="420" w:firstLineChars="200"/>
              <w:rPr>
                <w:rFonts w:ascii="Times New Roman" w:hAnsi="Times New Roman" w:eastAsia="宋体" w:cs="Times New Roman"/>
                <w:kern w:val="0"/>
                <w:szCs w:val="21"/>
              </w:rPr>
            </w:pPr>
            <w:r>
              <w:rPr>
                <w:rFonts w:ascii="Times New Roman" w:hAnsi="Times New Roman" w:eastAsia="宋体" w:cs="Times New Roman"/>
                <w:kern w:val="0"/>
                <w:szCs w:val="21"/>
              </w:rPr>
              <w:t>8、固体废物</w:t>
            </w:r>
          </w:p>
          <w:p>
            <w:pPr>
              <w:widowControl/>
              <w:adjustRightInd w:val="0"/>
              <w:snapToGrid w:val="0"/>
              <w:spacing w:line="500" w:lineRule="exact"/>
              <w:ind w:firstLine="420" w:firstLineChars="200"/>
              <w:rPr>
                <w:rFonts w:ascii="Times New Roman" w:hAnsi="Times New Roman" w:eastAsia="宋体" w:cs="Times New Roman"/>
                <w:kern w:val="0"/>
                <w:szCs w:val="21"/>
              </w:rPr>
            </w:pPr>
            <w:r>
              <w:rPr>
                <w:rFonts w:ascii="Times New Roman" w:hAnsi="Times New Roman" w:eastAsia="宋体" w:cs="Times New Roman"/>
                <w:kern w:val="0"/>
                <w:szCs w:val="21"/>
              </w:rPr>
              <w:t>一般工业固体废物执行《一般工业固体废物贮存和填埋污染控制标准》（GB 18599-2020）；危险废物执行《危险废物贮存污染控制标准》（GB18597-2023）。</w:t>
            </w:r>
          </w:p>
          <w:p>
            <w:pPr>
              <w:pStyle w:val="2"/>
            </w:pPr>
          </w:p>
        </w:tc>
      </w:tr>
    </w:tbl>
    <w:p>
      <w:pPr>
        <w:pStyle w:val="2"/>
        <w:rPr>
          <w:color w:val="FF0000"/>
        </w:rPr>
      </w:pPr>
    </w:p>
    <w:p>
      <w:pPr>
        <w:pStyle w:val="2"/>
        <w:rPr>
          <w:color w:val="FF0000"/>
          <w:sz w:val="21"/>
          <w:szCs w:val="21"/>
        </w:rPr>
        <w:sectPr>
          <w:footerReference r:id="rId3" w:type="default"/>
          <w:pgSz w:w="11906" w:h="16838"/>
          <w:pgMar w:top="1417" w:right="1417" w:bottom="1417" w:left="1417" w:header="851" w:footer="992" w:gutter="0"/>
          <w:pgBorders>
            <w:top w:val="none" w:sz="0" w:space="0"/>
            <w:left w:val="none" w:sz="0" w:space="0"/>
            <w:bottom w:val="none" w:sz="0" w:space="0"/>
            <w:right w:val="none" w:sz="0" w:space="0"/>
          </w:pgBorders>
          <w:pgNumType w:start="1"/>
          <w:cols w:space="425" w:num="1"/>
          <w:docGrid w:type="lines" w:linePitch="312" w:charSpace="0"/>
        </w:sectPr>
      </w:pPr>
    </w:p>
    <w:p>
      <w:pPr>
        <w:outlineLvl w:val="0"/>
        <w:rPr>
          <w:rFonts w:ascii="Times New Roman" w:hAnsi="Times New Roman" w:eastAsia="黑体" w:cs="Times New Roman"/>
          <w:bCs/>
          <w:sz w:val="24"/>
        </w:rPr>
      </w:pPr>
      <w:bookmarkStart w:id="5" w:name="_Toc14872"/>
      <w:r>
        <w:rPr>
          <w:rFonts w:ascii="Times New Roman" w:hAnsi="Times New Roman" w:eastAsia="黑体" w:cs="Times New Roman"/>
          <w:bCs/>
          <w:sz w:val="24"/>
        </w:rPr>
        <w:t>表二</w:t>
      </w:r>
      <w:bookmarkEnd w:id="5"/>
    </w:p>
    <w:tbl>
      <w:tblPr>
        <w:tblStyle w:val="1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9288"/>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817" w:hRule="atLeast"/>
          <w:jc w:val="center"/>
        </w:trPr>
        <w:tc>
          <w:tcPr>
            <w:tcW w:w="0" w:type="auto"/>
          </w:tcPr>
          <w:p>
            <w:pPr>
              <w:spacing w:line="500" w:lineRule="exact"/>
              <w:ind w:firstLine="420" w:firstLineChars="200"/>
              <w:rPr>
                <w:rFonts w:ascii="Times New Roman" w:hAnsi="Times New Roman" w:eastAsia="宋体" w:cs="Times New Roman"/>
                <w:bCs/>
                <w:szCs w:val="21"/>
              </w:rPr>
            </w:pPr>
            <w:r>
              <w:rPr>
                <w:rFonts w:ascii="Times New Roman" w:hAnsi="Times New Roman" w:eastAsia="宋体" w:cs="Times New Roman"/>
                <w:bCs/>
                <w:szCs w:val="21"/>
              </w:rPr>
              <w:t>工程建设内容：</w:t>
            </w:r>
          </w:p>
          <w:p>
            <w:pPr>
              <w:spacing w:line="500" w:lineRule="exact"/>
              <w:ind w:firstLine="420" w:firstLineChars="200"/>
              <w:rPr>
                <w:rFonts w:ascii="Times New Roman" w:hAnsi="Times New Roman" w:eastAsia="宋体" w:cs="Times New Roman"/>
                <w:bCs/>
                <w:szCs w:val="21"/>
              </w:rPr>
            </w:pPr>
            <w:r>
              <w:rPr>
                <w:rFonts w:ascii="Times New Roman" w:hAnsi="Times New Roman" w:eastAsia="宋体" w:cs="Times New Roman"/>
                <w:bCs/>
                <w:szCs w:val="21"/>
              </w:rPr>
              <w:t>1、企业概况：</w:t>
            </w:r>
          </w:p>
          <w:p>
            <w:pPr>
              <w:spacing w:line="500" w:lineRule="exact"/>
              <w:ind w:firstLine="420" w:firstLineChars="200"/>
              <w:rPr>
                <w:rFonts w:ascii="Times New Roman" w:hAnsi="Times New Roman" w:eastAsia="宋体" w:cs="Times New Roman"/>
                <w:bCs/>
                <w:szCs w:val="21"/>
              </w:rPr>
            </w:pPr>
            <w:r>
              <w:rPr>
                <w:rFonts w:ascii="Times New Roman" w:hAnsi="Times New Roman" w:eastAsia="宋体" w:cs="Times New Roman"/>
                <w:szCs w:val="21"/>
              </w:rPr>
              <w:t>黑龙江路原沥青混凝土有限公司</w:t>
            </w:r>
            <w:r>
              <w:rPr>
                <w:rFonts w:ascii="Times New Roman" w:hAnsi="Times New Roman" w:eastAsia="宋体" w:cs="Times New Roman"/>
                <w:bCs/>
                <w:szCs w:val="21"/>
              </w:rPr>
              <w:t>于2019年12月18日注册成立，厂址位于黑龙江省大庆市龙凤区黑龙江龙凤经济开发区内厂房（光砼北街2号），占地面积为</w:t>
            </w:r>
            <w:r>
              <w:rPr>
                <w:rFonts w:ascii="Times New Roman" w:hAnsi="Times New Roman" w:eastAsia="宋体" w:cs="Times New Roman"/>
                <w:szCs w:val="21"/>
              </w:rPr>
              <w:t>34871.87m</w:t>
            </w:r>
            <w:r>
              <w:rPr>
                <w:rFonts w:ascii="Times New Roman" w:hAnsi="Times New Roman" w:eastAsia="宋体" w:cs="Times New Roman"/>
                <w:szCs w:val="21"/>
                <w:vertAlign w:val="superscript"/>
              </w:rPr>
              <w:t>2</w:t>
            </w:r>
            <w:r>
              <w:rPr>
                <w:rFonts w:ascii="Times New Roman" w:hAnsi="Times New Roman" w:eastAsia="宋体" w:cs="Times New Roman"/>
                <w:bCs/>
                <w:szCs w:val="21"/>
              </w:rPr>
              <w:t>，现主要生产沥青混凝土，可年产35万m</w:t>
            </w:r>
            <w:r>
              <w:rPr>
                <w:rFonts w:ascii="Times New Roman" w:hAnsi="Times New Roman" w:eastAsia="宋体" w:cs="Times New Roman"/>
                <w:bCs/>
                <w:szCs w:val="21"/>
                <w:vertAlign w:val="superscript"/>
              </w:rPr>
              <w:t>3</w:t>
            </w:r>
            <w:r>
              <w:rPr>
                <w:rFonts w:ascii="Times New Roman" w:hAnsi="Times New Roman" w:eastAsia="宋体" w:cs="Times New Roman"/>
                <w:bCs/>
                <w:szCs w:val="21"/>
              </w:rPr>
              <w:t>沥青混凝土，其中普通沥青混凝土30万m</w:t>
            </w:r>
            <w:r>
              <w:rPr>
                <w:rFonts w:ascii="Times New Roman" w:hAnsi="Times New Roman" w:eastAsia="宋体" w:cs="Times New Roman"/>
                <w:bCs/>
                <w:szCs w:val="21"/>
                <w:vertAlign w:val="superscript"/>
              </w:rPr>
              <w:t>3</w:t>
            </w:r>
            <w:r>
              <w:rPr>
                <w:rFonts w:ascii="Times New Roman" w:hAnsi="Times New Roman" w:eastAsia="宋体" w:cs="Times New Roman"/>
                <w:bCs/>
                <w:szCs w:val="21"/>
              </w:rPr>
              <w:t>，彩色沥青混凝土5万m</w:t>
            </w:r>
            <w:r>
              <w:rPr>
                <w:rFonts w:ascii="Times New Roman" w:hAnsi="Times New Roman" w:eastAsia="宋体" w:cs="Times New Roman"/>
                <w:bCs/>
                <w:szCs w:val="21"/>
                <w:vertAlign w:val="superscript"/>
              </w:rPr>
              <w:t>3</w:t>
            </w:r>
            <w:r>
              <w:rPr>
                <w:rFonts w:ascii="Times New Roman" w:hAnsi="Times New Roman" w:eastAsia="宋体" w:cs="Times New Roman"/>
                <w:bCs/>
                <w:szCs w:val="21"/>
              </w:rPr>
              <w:t>。</w:t>
            </w:r>
          </w:p>
          <w:p>
            <w:pPr>
              <w:pStyle w:val="25"/>
              <w:spacing w:line="500" w:lineRule="exact"/>
              <w:ind w:firstLine="420" w:firstLineChars="200"/>
              <w:rPr>
                <w:rFonts w:hAnsi="Times New Roman" w:eastAsia="宋体" w:cs="Times New Roman"/>
              </w:rPr>
            </w:pPr>
            <w:r>
              <w:rPr>
                <w:rFonts w:hAnsi="Times New Roman" w:eastAsia="宋体" w:cs="Times New Roman"/>
              </w:rPr>
              <w:t>建设单位黑龙江路原沥青混凝土有限公司委托兴建安环生态环境有限公司承担该项目的环境影响评价工作。环境影响评价单位在现场勘查和资料调研的基础上，于2020年8月编制完成了《黑龙江路原环保型沥青（彩色）混凝土拌合站建设项目环境影响报告表》，并上报主管审批部门大庆市龙凤区环境保护局。2020年9月5日，大庆市龙凤区环境保护局龙环建审[2020]20号文对该项目的环境影响报告表做了批复。</w:t>
            </w:r>
          </w:p>
          <w:p>
            <w:pPr>
              <w:pStyle w:val="25"/>
              <w:spacing w:line="500" w:lineRule="exact"/>
              <w:ind w:firstLine="420" w:firstLineChars="200"/>
              <w:rPr>
                <w:rFonts w:hAnsi="Times New Roman" w:eastAsia="宋体" w:cs="Times New Roman"/>
              </w:rPr>
            </w:pPr>
            <w:r>
              <w:rPr>
                <w:rFonts w:hAnsi="Times New Roman" w:eastAsia="宋体" w:cs="Times New Roman"/>
              </w:rPr>
              <w:t>该建设项目于2021年4月开工建设，20</w:t>
            </w:r>
            <w:r>
              <w:rPr>
                <w:rFonts w:hint="eastAsia" w:hAnsi="Times New Roman" w:eastAsia="宋体" w:cs="Times New Roman"/>
              </w:rPr>
              <w:t>21</w:t>
            </w:r>
            <w:r>
              <w:rPr>
                <w:rFonts w:hAnsi="Times New Roman" w:eastAsia="宋体" w:cs="Times New Roman"/>
              </w:rPr>
              <w:t>年</w:t>
            </w:r>
            <w:r>
              <w:rPr>
                <w:rFonts w:hint="eastAsia" w:hAnsi="Times New Roman" w:eastAsia="宋体" w:cs="Times New Roman"/>
              </w:rPr>
              <w:t>8</w:t>
            </w:r>
            <w:r>
              <w:rPr>
                <w:rFonts w:hAnsi="Times New Roman" w:eastAsia="宋体" w:cs="Times New Roman"/>
              </w:rPr>
              <w:t>月竣工。202</w:t>
            </w:r>
            <w:r>
              <w:rPr>
                <w:rFonts w:hint="eastAsia" w:hAnsi="Times New Roman" w:eastAsia="宋体" w:cs="Times New Roman"/>
              </w:rPr>
              <w:t>3</w:t>
            </w:r>
            <w:r>
              <w:rPr>
                <w:rFonts w:hAnsi="Times New Roman" w:eastAsia="宋体" w:cs="Times New Roman"/>
              </w:rPr>
              <w:t>年</w:t>
            </w:r>
            <w:r>
              <w:rPr>
                <w:rFonts w:hint="eastAsia" w:hAnsi="Times New Roman" w:eastAsia="宋体" w:cs="Times New Roman"/>
              </w:rPr>
              <w:t>4</w:t>
            </w:r>
            <w:r>
              <w:rPr>
                <w:rFonts w:hAnsi="Times New Roman" w:eastAsia="宋体" w:cs="Times New Roman"/>
              </w:rPr>
              <w:t>月开始调试生产。现该建设项目已完成排污许可证申报工作。排污许可证证书编号：91230603MA1BXMJW1U001U。</w:t>
            </w:r>
          </w:p>
          <w:p>
            <w:pPr>
              <w:pStyle w:val="25"/>
              <w:spacing w:line="500" w:lineRule="exact"/>
              <w:ind w:firstLine="420" w:firstLineChars="200"/>
              <w:rPr>
                <w:rFonts w:hAnsi="Times New Roman" w:eastAsia="宋体" w:cs="Times New Roman"/>
              </w:rPr>
            </w:pPr>
            <w:r>
              <w:rPr>
                <w:rFonts w:hAnsi="Times New Roman" w:eastAsia="宋体" w:cs="Times New Roman"/>
              </w:rPr>
              <w:t>2、</w:t>
            </w:r>
            <w:r>
              <w:rPr>
                <w:rFonts w:hAnsi="Times New Roman" w:eastAsia="宋体" w:cs="Times New Roman"/>
                <w:bCs/>
                <w:szCs w:val="21"/>
              </w:rPr>
              <w:t>项目周边地理位置：</w:t>
            </w:r>
          </w:p>
          <w:p>
            <w:pPr>
              <w:pStyle w:val="25"/>
              <w:spacing w:line="500" w:lineRule="exact"/>
              <w:ind w:firstLine="420" w:firstLineChars="200"/>
              <w:rPr>
                <w:rFonts w:hAnsi="Times New Roman" w:cs="Times New Roman"/>
              </w:rPr>
            </w:pPr>
            <w:r>
              <w:rPr>
                <w:rFonts w:hAnsi="Times New Roman" w:cs="Times New Roman"/>
              </w:rPr>
              <w:t>本项目地处东经125.075411°，北纬46.494552°，项目地址位于大庆市龙凤区光明产业园区内外环东路北侧，规划三号街东侧。项目北侧 1330m处为沁园小区、1170m处为大庆市三十一中，西北侧2700m处为湖韵新村，东北侧600米处为董家泡。</w:t>
            </w:r>
          </w:p>
          <w:p>
            <w:pPr>
              <w:pStyle w:val="25"/>
              <w:spacing w:line="500" w:lineRule="exact"/>
              <w:ind w:firstLine="420" w:firstLineChars="200"/>
              <w:rPr>
                <w:rFonts w:hAnsi="Times New Roman" w:cs="Times New Roman"/>
              </w:rPr>
            </w:pPr>
            <w:r>
              <w:rPr>
                <w:rFonts w:hAnsi="Times New Roman" w:cs="Times New Roman"/>
              </w:rPr>
              <w:t xml:space="preserve">3、工程建设内容： </w:t>
            </w:r>
          </w:p>
          <w:p>
            <w:pPr>
              <w:spacing w:line="500" w:lineRule="exact"/>
              <w:ind w:firstLine="420" w:firstLineChars="200"/>
              <w:rPr>
                <w:rFonts w:ascii="Times New Roman" w:hAnsi="Times New Roman" w:cs="Times New Roman"/>
              </w:rPr>
            </w:pPr>
            <w:r>
              <w:rPr>
                <w:rFonts w:ascii="Times New Roman" w:hAnsi="Times New Roman" w:cs="Times New Roman"/>
              </w:rPr>
              <w:t>项目购置安装DG4000型沥青拌合站1套、乳化沥青设备1套等生产设备新建一条沥青混凝土的生产线，安装一座燃气锅炉，一套加热炉用于生产供热，安装一座燃气锅炉用于生活供热。项目建成后可年产35万m</w:t>
            </w:r>
            <w:r>
              <w:rPr>
                <w:rFonts w:ascii="Times New Roman" w:hAnsi="Times New Roman" w:cs="Times New Roman"/>
                <w:vertAlign w:val="superscript"/>
              </w:rPr>
              <w:t>3</w:t>
            </w:r>
            <w:r>
              <w:rPr>
                <w:rFonts w:ascii="Times New Roman" w:hAnsi="Times New Roman" w:cs="Times New Roman"/>
              </w:rPr>
              <w:t>沥青混凝土，其中普通沥青混凝土30万m</w:t>
            </w:r>
            <w:r>
              <w:rPr>
                <w:rFonts w:ascii="Times New Roman" w:hAnsi="Times New Roman" w:cs="Times New Roman"/>
                <w:vertAlign w:val="superscript"/>
              </w:rPr>
              <w:t>3</w:t>
            </w:r>
            <w:r>
              <w:rPr>
                <w:rFonts w:ascii="Times New Roman" w:hAnsi="Times New Roman" w:cs="Times New Roman"/>
              </w:rPr>
              <w:t>，彩色沥青混凝土5万m</w:t>
            </w:r>
            <w:r>
              <w:rPr>
                <w:rFonts w:ascii="Times New Roman" w:hAnsi="Times New Roman" w:cs="Times New Roman"/>
                <w:vertAlign w:val="superscript"/>
              </w:rPr>
              <w:t>3</w:t>
            </w:r>
            <w:r>
              <w:rPr>
                <w:rFonts w:ascii="Times New Roman" w:hAnsi="Times New Roman" w:cs="Times New Roman"/>
              </w:rPr>
              <w:t>。</w:t>
            </w:r>
          </w:p>
          <w:p>
            <w:pPr>
              <w:spacing w:line="500" w:lineRule="exact"/>
              <w:ind w:firstLine="420" w:firstLineChars="200"/>
              <w:rPr>
                <w:rFonts w:ascii="Times New Roman" w:hAnsi="Times New Roman" w:cs="Times New Roman"/>
              </w:rPr>
            </w:pPr>
            <w:r>
              <w:rPr>
                <w:rFonts w:ascii="Times New Roman" w:hAnsi="Times New Roman" w:cs="Times New Roman"/>
              </w:rPr>
              <w:t>4、验收范围：对沥青混凝土生产设备及其它配套设施本体安装；</w:t>
            </w:r>
            <w:r>
              <w:rPr>
                <w:rFonts w:hint="eastAsia" w:ascii="Times New Roman" w:hAnsi="Times New Roman" w:cs="Times New Roman"/>
              </w:rPr>
              <w:t>及</w:t>
            </w:r>
            <w:r>
              <w:rPr>
                <w:rFonts w:ascii="Times New Roman" w:hAnsi="Times New Roman" w:cs="Times New Roman"/>
              </w:rPr>
              <w:t>环保设施建设。</w:t>
            </w:r>
          </w:p>
          <w:p>
            <w:pPr>
              <w:pStyle w:val="25"/>
              <w:spacing w:line="500" w:lineRule="exact"/>
              <w:ind w:firstLine="420" w:firstLineChars="200"/>
              <w:rPr>
                <w:rFonts w:hAnsi="Times New Roman" w:cs="Times New Roman"/>
              </w:rPr>
            </w:pPr>
            <w:r>
              <w:rPr>
                <w:rFonts w:hAnsi="Times New Roman" w:cs="Times New Roman"/>
              </w:rPr>
              <w:t>项目平面布置图见图2-1，项目地理位置示意图见图2-2。</w:t>
            </w:r>
          </w:p>
          <w:p>
            <w:pPr>
              <w:rPr>
                <w:rFonts w:ascii="Times New Roman" w:hAnsi="Times New Roman" w:cs="Times New Roman"/>
                <w:color w:val="FF0000"/>
              </w:rPr>
            </w:pPr>
          </w:p>
          <w:p>
            <w:pPr>
              <w:pStyle w:val="25"/>
              <w:ind w:firstLine="0"/>
              <w:rPr>
                <w:rFonts w:hAnsi="Times New Roman" w:cs="Times New Roman"/>
                <w:color w:val="FF0000"/>
              </w:rPr>
            </w:pPr>
          </w:p>
          <w:p>
            <w:pPr>
              <w:rPr>
                <w:rFonts w:ascii="Times New Roman" w:hAnsi="Times New Roman" w:cs="Times New Roman"/>
                <w:color w:val="FF0000"/>
              </w:rPr>
            </w:pPr>
          </w:p>
          <w:p>
            <w:pPr>
              <w:pStyle w:val="25"/>
              <w:ind w:firstLine="0"/>
              <w:rPr>
                <w:rFonts w:hAnsi="Times New Roman" w:cs="Times New Roman"/>
                <w:color w:val="FF0000"/>
              </w:rPr>
            </w:pPr>
          </w:p>
          <w:p>
            <w:pPr>
              <w:rPr>
                <w:rFonts w:ascii="Times New Roman" w:hAnsi="Times New Roman" w:cs="Times New Roman"/>
                <w:color w:val="FF0000"/>
              </w:rPr>
            </w:pPr>
          </w:p>
          <w:p>
            <w:pPr>
              <w:pStyle w:val="25"/>
              <w:ind w:firstLine="0"/>
              <w:rPr>
                <w:rFonts w:hAnsi="Times New Roman" w:cs="Times New Roman"/>
                <w:color w:val="FF0000"/>
              </w:rPr>
            </w:pPr>
          </w:p>
          <w:p>
            <w:pPr>
              <w:rPr>
                <w:rFonts w:ascii="Times New Roman" w:hAnsi="Times New Roman" w:cs="Times New Roman"/>
                <w:color w:val="FF0000"/>
              </w:rPr>
            </w:pPr>
          </w:p>
          <w:p>
            <w:pPr>
              <w:pStyle w:val="25"/>
              <w:ind w:firstLine="0"/>
              <w:rPr>
                <w:rFonts w:hAnsi="Times New Roman" w:cs="Times New Roman"/>
                <w:color w:val="FF0000"/>
              </w:rPr>
            </w:pPr>
          </w:p>
          <w:p>
            <w:pPr>
              <w:pStyle w:val="23"/>
              <w:spacing w:before="78" w:after="78"/>
              <w:rPr>
                <w:rFonts w:hint="default" w:ascii="Times New Roman" w:cs="Times New Roman"/>
                <w:color w:val="FF0000"/>
              </w:rPr>
            </w:pPr>
          </w:p>
          <w:p>
            <w:pPr>
              <w:pStyle w:val="2"/>
              <w:spacing w:line="500" w:lineRule="exact"/>
              <w:ind w:firstLine="420" w:firstLineChars="200"/>
              <w:jc w:val="center"/>
              <w:rPr>
                <w:rFonts w:eastAsia="黑体"/>
                <w:sz w:val="21"/>
              </w:rPr>
            </w:pPr>
            <w:r>
              <w:rPr>
                <w:rFonts w:eastAsia="黑体"/>
                <w:sz w:val="21"/>
              </w:rPr>
              <w:t>图2-1   项目平面布置图</w:t>
            </w:r>
          </w:p>
          <w:p>
            <w:pPr>
              <w:pStyle w:val="25"/>
              <w:spacing w:line="500" w:lineRule="exact"/>
              <w:ind w:firstLine="420" w:firstLineChars="200"/>
              <w:jc w:val="center"/>
              <w:rPr>
                <w:rFonts w:hAnsi="Times New Roman" w:eastAsia="宋体" w:cs="Times New Roman"/>
                <w:color w:val="FF0000"/>
                <w:szCs w:val="21"/>
              </w:rPr>
            </w:pPr>
            <w:r>
              <w:rPr>
                <w:rFonts w:hAnsi="Times New Roman" w:eastAsia="宋体" w:cs="Times New Roman"/>
                <w:color w:val="FF0000"/>
                <w:szCs w:val="21"/>
              </w:rPr>
              <w:drawing>
                <wp:anchor distT="0" distB="0" distL="114300" distR="114300" simplePos="0" relativeHeight="251661312" behindDoc="1" locked="0" layoutInCell="1" allowOverlap="1">
                  <wp:simplePos x="0" y="0"/>
                  <wp:positionH relativeFrom="column">
                    <wp:posOffset>252730</wp:posOffset>
                  </wp:positionH>
                  <wp:positionV relativeFrom="paragraph">
                    <wp:posOffset>-4498340</wp:posOffset>
                  </wp:positionV>
                  <wp:extent cx="5424170" cy="4781550"/>
                  <wp:effectExtent l="19050" t="0" r="5080" b="0"/>
                  <wp:wrapTight wrapText="bothSides">
                    <wp:wrapPolygon>
                      <wp:start x="-76" y="0"/>
                      <wp:lineTo x="-76" y="21514"/>
                      <wp:lineTo x="21620" y="21514"/>
                      <wp:lineTo x="21620" y="0"/>
                      <wp:lineTo x="-76" y="0"/>
                    </wp:wrapPolygon>
                  </wp:wrapTight>
                  <wp:docPr id="10" name="图片 10" descr="平面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平面图"/>
                          <pic:cNvPicPr>
                            <a:picLocks noChangeAspect="1"/>
                          </pic:cNvPicPr>
                        </pic:nvPicPr>
                        <pic:blipFill>
                          <a:blip r:embed="rId8" cstate="print"/>
                          <a:stretch>
                            <a:fillRect/>
                          </a:stretch>
                        </pic:blipFill>
                        <pic:spPr>
                          <a:xfrm>
                            <a:off x="0" y="0"/>
                            <a:ext cx="5424170" cy="4781550"/>
                          </a:xfrm>
                          <a:prstGeom prst="rect">
                            <a:avLst/>
                          </a:prstGeom>
                        </pic:spPr>
                      </pic:pic>
                    </a:graphicData>
                  </a:graphic>
                </wp:anchor>
              </w:drawing>
            </w:r>
          </w:p>
          <w:p>
            <w:pPr>
              <w:pStyle w:val="25"/>
              <w:spacing w:line="500" w:lineRule="exact"/>
              <w:ind w:firstLine="422" w:firstLineChars="200"/>
              <w:rPr>
                <w:rFonts w:hAnsi="Times New Roman" w:eastAsia="宋体" w:cs="Times New Roman"/>
                <w:b/>
                <w:bCs/>
                <w:color w:val="FF0000"/>
                <w:szCs w:val="21"/>
              </w:rPr>
            </w:pPr>
          </w:p>
          <w:p>
            <w:pPr>
              <w:rPr>
                <w:rFonts w:hAnsi="Times New Roman" w:eastAsia="宋体" w:cs="Times New Roman"/>
                <w:b/>
                <w:bCs/>
                <w:color w:val="FF0000"/>
                <w:szCs w:val="21"/>
              </w:rPr>
            </w:pPr>
          </w:p>
          <w:p>
            <w:pPr>
              <w:pStyle w:val="2"/>
              <w:rPr>
                <w:b/>
                <w:bCs/>
                <w:color w:val="FF0000"/>
                <w:szCs w:val="21"/>
              </w:rPr>
            </w:pPr>
          </w:p>
          <w:p>
            <w:pPr>
              <w:pStyle w:val="2"/>
              <w:rPr>
                <w:b/>
                <w:bCs/>
                <w:color w:val="FF0000"/>
                <w:szCs w:val="21"/>
              </w:rPr>
            </w:pPr>
          </w:p>
          <w:p>
            <w:pPr>
              <w:pStyle w:val="2"/>
              <w:rPr>
                <w:b/>
                <w:bCs/>
                <w:color w:val="FF0000"/>
                <w:szCs w:val="21"/>
              </w:rPr>
            </w:pPr>
          </w:p>
          <w:p>
            <w:pPr>
              <w:pStyle w:val="2"/>
              <w:rPr>
                <w:b/>
                <w:bCs/>
                <w:color w:val="FF0000"/>
                <w:szCs w:val="21"/>
              </w:rPr>
            </w:pPr>
          </w:p>
          <w:p>
            <w:pPr>
              <w:pStyle w:val="2"/>
              <w:rPr>
                <w:b/>
                <w:bCs/>
                <w:color w:val="FF0000"/>
                <w:szCs w:val="21"/>
              </w:rPr>
            </w:pPr>
          </w:p>
          <w:p>
            <w:pPr>
              <w:pStyle w:val="2"/>
              <w:rPr>
                <w:b/>
                <w:bCs/>
                <w:color w:val="FF0000"/>
                <w:szCs w:val="21"/>
              </w:rPr>
            </w:pPr>
          </w:p>
          <w:p>
            <w:pPr>
              <w:pStyle w:val="2"/>
              <w:rPr>
                <w:b/>
                <w:bCs/>
                <w:color w:val="FF0000"/>
                <w:szCs w:val="21"/>
              </w:rPr>
            </w:pPr>
          </w:p>
          <w:p>
            <w:pPr>
              <w:pStyle w:val="2"/>
              <w:rPr>
                <w:b/>
                <w:bCs/>
                <w:color w:val="FF0000"/>
                <w:szCs w:val="21"/>
              </w:rPr>
            </w:pPr>
          </w:p>
          <w:p>
            <w:pPr>
              <w:pStyle w:val="25"/>
              <w:spacing w:line="500" w:lineRule="exact"/>
              <w:ind w:firstLine="422" w:firstLineChars="200"/>
              <w:rPr>
                <w:rFonts w:hAnsi="Times New Roman" w:eastAsia="宋体" w:cs="Times New Roman"/>
                <w:b/>
                <w:bCs/>
                <w:color w:val="FF0000"/>
                <w:szCs w:val="21"/>
              </w:rPr>
            </w:pPr>
          </w:p>
          <w:p>
            <w:pPr>
              <w:pStyle w:val="25"/>
              <w:spacing w:line="500" w:lineRule="exact"/>
              <w:ind w:firstLine="420" w:firstLineChars="200"/>
              <w:rPr>
                <w:rFonts w:hAnsi="Times New Roman" w:eastAsia="宋体" w:cs="Times New Roman"/>
                <w:color w:val="FF0000"/>
                <w:szCs w:val="21"/>
              </w:rPr>
            </w:pPr>
          </w:p>
          <w:p>
            <w:pPr>
              <w:pStyle w:val="2"/>
              <w:spacing w:line="500" w:lineRule="exact"/>
              <w:ind w:firstLine="420" w:firstLineChars="200"/>
              <w:jc w:val="center"/>
              <w:rPr>
                <w:rFonts w:eastAsia="黑体"/>
                <w:color w:val="FF0000"/>
                <w:sz w:val="21"/>
              </w:rPr>
            </w:pPr>
          </w:p>
          <w:p>
            <w:pPr>
              <w:pStyle w:val="2"/>
              <w:spacing w:line="500" w:lineRule="exact"/>
              <w:ind w:firstLine="420" w:firstLineChars="200"/>
              <w:jc w:val="center"/>
              <w:rPr>
                <w:rFonts w:eastAsia="黑体"/>
                <w:sz w:val="21"/>
              </w:rPr>
            </w:pPr>
          </w:p>
          <w:p>
            <w:pPr>
              <w:pStyle w:val="2"/>
              <w:spacing w:line="500" w:lineRule="exact"/>
              <w:ind w:firstLine="420" w:firstLineChars="200"/>
              <w:jc w:val="center"/>
              <w:rPr>
                <w:rFonts w:eastAsia="黑体"/>
                <w:sz w:val="21"/>
              </w:rPr>
            </w:pPr>
            <w:r>
              <w:rPr>
                <w:rFonts w:eastAsia="黑体"/>
                <w:color w:val="FF0000"/>
                <w:sz w:val="21"/>
              </w:rPr>
              <w:drawing>
                <wp:anchor distT="0" distB="0" distL="114300" distR="114300" simplePos="0" relativeHeight="251668480" behindDoc="1" locked="0" layoutInCell="1" allowOverlap="1">
                  <wp:simplePos x="0" y="0"/>
                  <wp:positionH relativeFrom="column">
                    <wp:posOffset>33655</wp:posOffset>
                  </wp:positionH>
                  <wp:positionV relativeFrom="paragraph">
                    <wp:posOffset>236855</wp:posOffset>
                  </wp:positionV>
                  <wp:extent cx="5708015" cy="6734175"/>
                  <wp:effectExtent l="19050" t="0" r="6985" b="0"/>
                  <wp:wrapTight wrapText="bothSides">
                    <wp:wrapPolygon>
                      <wp:start x="-72" y="0"/>
                      <wp:lineTo x="-72" y="21569"/>
                      <wp:lineTo x="21626" y="21569"/>
                      <wp:lineTo x="21626" y="0"/>
                      <wp:lineTo x="-72" y="0"/>
                    </wp:wrapPolygon>
                  </wp:wrapTight>
                  <wp:docPr id="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1"/>
                          <pic:cNvPicPr>
                            <a:picLocks noChangeAspect="1" noChangeArrowheads="1"/>
                          </pic:cNvPicPr>
                        </pic:nvPicPr>
                        <pic:blipFill>
                          <a:blip r:embed="rId9" cstate="print"/>
                          <a:srcRect/>
                          <a:stretch>
                            <a:fillRect/>
                          </a:stretch>
                        </pic:blipFill>
                        <pic:spPr>
                          <a:xfrm>
                            <a:off x="0" y="0"/>
                            <a:ext cx="5708015" cy="6734175"/>
                          </a:xfrm>
                          <a:prstGeom prst="rect">
                            <a:avLst/>
                          </a:prstGeom>
                          <a:noFill/>
                          <a:ln w="9525">
                            <a:noFill/>
                            <a:miter lim="800000"/>
                            <a:headEnd/>
                            <a:tailEnd/>
                          </a:ln>
                        </pic:spPr>
                      </pic:pic>
                    </a:graphicData>
                  </a:graphic>
                </wp:anchor>
              </w:drawing>
            </w:r>
          </w:p>
          <w:p>
            <w:pPr>
              <w:pStyle w:val="2"/>
              <w:spacing w:line="500" w:lineRule="exact"/>
              <w:ind w:firstLine="420" w:firstLineChars="200"/>
              <w:jc w:val="center"/>
              <w:rPr>
                <w:rFonts w:eastAsia="黑体"/>
                <w:sz w:val="21"/>
              </w:rPr>
            </w:pPr>
          </w:p>
          <w:p>
            <w:pPr>
              <w:pStyle w:val="2"/>
              <w:spacing w:line="500" w:lineRule="exact"/>
              <w:ind w:firstLine="420" w:firstLineChars="200"/>
              <w:jc w:val="center"/>
              <w:rPr>
                <w:rFonts w:eastAsia="黑体"/>
                <w:sz w:val="21"/>
              </w:rPr>
            </w:pPr>
            <w:r>
              <w:rPr>
                <w:rFonts w:eastAsia="黑体"/>
                <w:sz w:val="21"/>
              </w:rPr>
              <w:t>图2-2   项目地理位置示意图</w:t>
            </w:r>
          </w:p>
          <w:p>
            <w:pPr>
              <w:rPr>
                <w:rFonts w:ascii="Times New Roman" w:hAnsi="Times New Roman" w:cs="Times New Roman"/>
                <w:color w:val="FF0000"/>
              </w:rPr>
            </w:pP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5、项目组成</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项目基本情况及验收规模经现场查看，与环评情况对照具体见表2-2。</w:t>
            </w:r>
          </w:p>
          <w:p>
            <w:pPr>
              <w:spacing w:line="500" w:lineRule="exact"/>
              <w:ind w:firstLine="420" w:firstLineChars="200"/>
              <w:rPr>
                <w:rFonts w:ascii="Times New Roman" w:hAnsi="Times New Roman" w:eastAsia="黑体" w:cs="Times New Roman"/>
                <w:szCs w:val="21"/>
              </w:rPr>
            </w:pPr>
            <w:r>
              <w:rPr>
                <w:rFonts w:ascii="Times New Roman" w:hAnsi="Times New Roman" w:eastAsia="黑体" w:cs="Times New Roman"/>
                <w:szCs w:val="21"/>
              </w:rPr>
              <w:t xml:space="preserve">表2-2         </w:t>
            </w:r>
            <w:r>
              <w:rPr>
                <w:rFonts w:hint="eastAsia" w:ascii="Times New Roman" w:hAnsi="Times New Roman" w:eastAsia="黑体" w:cs="Times New Roman"/>
                <w:szCs w:val="21"/>
              </w:rPr>
              <w:t xml:space="preserve">    </w:t>
            </w:r>
            <w:r>
              <w:rPr>
                <w:rFonts w:ascii="Times New Roman" w:hAnsi="Times New Roman" w:eastAsia="黑体" w:cs="Times New Roman"/>
                <w:szCs w:val="21"/>
              </w:rPr>
              <w:t xml:space="preserve">    项目环评情况与实际验收情况对照表</w:t>
            </w:r>
          </w:p>
          <w:tbl>
            <w:tblPr>
              <w:tblStyle w:val="1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33"/>
              <w:gridCol w:w="793"/>
              <w:gridCol w:w="2963"/>
              <w:gridCol w:w="3161"/>
              <w:gridCol w:w="162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15" w:hRule="atLeast"/>
              </w:trPr>
              <w:tc>
                <w:tcPr>
                  <w:tcW w:w="294" w:type="pct"/>
                  <w:vAlign w:val="center"/>
                </w:tcPr>
                <w:p>
                  <w:pPr>
                    <w:widowControl/>
                    <w:suppressLineNumbers/>
                    <w:spacing w:line="320" w:lineRule="exact"/>
                    <w:jc w:val="center"/>
                    <w:rPr>
                      <w:rFonts w:ascii="Times New Roman" w:hAnsi="Times New Roman" w:eastAsia="黑体" w:cs="Times New Roman"/>
                      <w:bCs/>
                      <w:szCs w:val="21"/>
                    </w:rPr>
                  </w:pPr>
                  <w:r>
                    <w:rPr>
                      <w:rFonts w:ascii="Times New Roman" w:hAnsi="Times New Roman" w:eastAsia="黑体" w:cs="Times New Roman"/>
                      <w:bCs/>
                      <w:szCs w:val="21"/>
                    </w:rPr>
                    <w:t>类别</w:t>
                  </w:r>
                </w:p>
              </w:tc>
              <w:tc>
                <w:tcPr>
                  <w:tcW w:w="437" w:type="pct"/>
                  <w:vAlign w:val="center"/>
                </w:tcPr>
                <w:p>
                  <w:pPr>
                    <w:widowControl/>
                    <w:suppressLineNumbers/>
                    <w:spacing w:line="320" w:lineRule="exact"/>
                    <w:jc w:val="center"/>
                    <w:rPr>
                      <w:rFonts w:ascii="Times New Roman" w:hAnsi="Times New Roman" w:eastAsia="黑体" w:cs="Times New Roman"/>
                      <w:bCs/>
                      <w:szCs w:val="21"/>
                    </w:rPr>
                  </w:pPr>
                  <w:r>
                    <w:rPr>
                      <w:rFonts w:ascii="Times New Roman" w:hAnsi="Times New Roman" w:eastAsia="黑体" w:cs="Times New Roman"/>
                      <w:bCs/>
                      <w:szCs w:val="21"/>
                    </w:rPr>
                    <w:t>建设内容</w:t>
                  </w:r>
                </w:p>
              </w:tc>
              <w:tc>
                <w:tcPr>
                  <w:tcW w:w="1633" w:type="pct"/>
                  <w:vAlign w:val="center"/>
                </w:tcPr>
                <w:p>
                  <w:pPr>
                    <w:widowControl/>
                    <w:suppressLineNumbers/>
                    <w:spacing w:line="320" w:lineRule="exact"/>
                    <w:jc w:val="center"/>
                    <w:rPr>
                      <w:rFonts w:ascii="Times New Roman" w:hAnsi="Times New Roman" w:eastAsia="黑体" w:cs="Times New Roman"/>
                      <w:bCs/>
                      <w:szCs w:val="21"/>
                    </w:rPr>
                  </w:pPr>
                  <w:r>
                    <w:rPr>
                      <w:rFonts w:ascii="Times New Roman" w:hAnsi="Times New Roman" w:eastAsia="黑体" w:cs="Times New Roman"/>
                      <w:bCs/>
                      <w:szCs w:val="21"/>
                    </w:rPr>
                    <w:t>环评设计建设内容</w:t>
                  </w:r>
                </w:p>
              </w:tc>
              <w:tc>
                <w:tcPr>
                  <w:tcW w:w="1742" w:type="pct"/>
                  <w:vAlign w:val="center"/>
                </w:tcPr>
                <w:p>
                  <w:pPr>
                    <w:widowControl/>
                    <w:suppressLineNumbers/>
                    <w:spacing w:line="320" w:lineRule="exact"/>
                    <w:jc w:val="center"/>
                    <w:rPr>
                      <w:rFonts w:ascii="Times New Roman" w:hAnsi="Times New Roman" w:eastAsia="黑体" w:cs="Times New Roman"/>
                      <w:bCs/>
                      <w:szCs w:val="21"/>
                    </w:rPr>
                  </w:pPr>
                  <w:r>
                    <w:rPr>
                      <w:rFonts w:ascii="Times New Roman" w:hAnsi="Times New Roman" w:eastAsia="黑体" w:cs="Times New Roman"/>
                      <w:bCs/>
                      <w:szCs w:val="21"/>
                    </w:rPr>
                    <w:t>实际建设内容及规模</w:t>
                  </w:r>
                </w:p>
              </w:tc>
              <w:tc>
                <w:tcPr>
                  <w:tcW w:w="894" w:type="pct"/>
                  <w:vAlign w:val="center"/>
                </w:tcPr>
                <w:p>
                  <w:pPr>
                    <w:widowControl/>
                    <w:suppressLineNumbers/>
                    <w:spacing w:line="320" w:lineRule="exact"/>
                    <w:jc w:val="center"/>
                    <w:rPr>
                      <w:rFonts w:ascii="Times New Roman" w:hAnsi="Times New Roman" w:eastAsia="黑体" w:cs="Times New Roman"/>
                      <w:bCs/>
                      <w:szCs w:val="21"/>
                    </w:rPr>
                  </w:pPr>
                  <w:r>
                    <w:rPr>
                      <w:rFonts w:ascii="Times New Roman" w:hAnsi="Times New Roman" w:eastAsia="黑体" w:cs="Times New Roman"/>
                      <w:bCs/>
                      <w:szCs w:val="21"/>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294" w:type="pct"/>
                  <w:vMerge w:val="restar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主体工程</w:t>
                  </w:r>
                </w:p>
              </w:tc>
              <w:tc>
                <w:tcPr>
                  <w:tcW w:w="437"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沥青混凝土生产线</w:t>
                  </w:r>
                </w:p>
              </w:tc>
              <w:tc>
                <w:tcPr>
                  <w:tcW w:w="1633" w:type="pct"/>
                  <w:vAlign w:val="center"/>
                </w:tcPr>
                <w:p>
                  <w:pPr>
                    <w:widowControl/>
                    <w:suppressLineNumbers/>
                    <w:tabs>
                      <w:tab w:val="left" w:pos="360"/>
                      <w:tab w:val="center" w:pos="630"/>
                    </w:tab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本项目位于厂区中心处设置生产区，用于新建一条沥青混凝土的生产线，项目建成后可年产35万m</w:t>
                  </w:r>
                  <w:r>
                    <w:rPr>
                      <w:rFonts w:ascii="Times New Roman" w:hAnsi="Times New Roman" w:eastAsia="宋体" w:cs="Times New Roman"/>
                      <w:szCs w:val="21"/>
                      <w:vertAlign w:val="superscript"/>
                    </w:rPr>
                    <w:t>3</w:t>
                  </w:r>
                  <w:r>
                    <w:rPr>
                      <w:rFonts w:ascii="Times New Roman" w:hAnsi="Times New Roman" w:eastAsia="宋体" w:cs="Times New Roman"/>
                      <w:szCs w:val="21"/>
                    </w:rPr>
                    <w:t>沥青混凝土，其中普通沥青混凝土30万m</w:t>
                  </w:r>
                  <w:r>
                    <w:rPr>
                      <w:rFonts w:ascii="Times New Roman" w:hAnsi="Times New Roman" w:eastAsia="宋体" w:cs="Times New Roman"/>
                      <w:szCs w:val="21"/>
                      <w:vertAlign w:val="superscript"/>
                    </w:rPr>
                    <w:t>3</w:t>
                  </w:r>
                  <w:r>
                    <w:rPr>
                      <w:rFonts w:ascii="Times New Roman" w:hAnsi="Times New Roman" w:eastAsia="宋体" w:cs="Times New Roman"/>
                      <w:szCs w:val="21"/>
                    </w:rPr>
                    <w:t>，彩色沥青混凝土5万m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742" w:type="pct"/>
                  <w:vAlign w:val="center"/>
                </w:tcPr>
                <w:p>
                  <w:pPr>
                    <w:widowControl/>
                    <w:suppressLineNumbers/>
                    <w:tabs>
                      <w:tab w:val="left" w:pos="360"/>
                      <w:tab w:val="center" w:pos="630"/>
                    </w:tab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本项目位于厂区中心处已建设生产区，已建设一条沥青混凝土的生产线，可年产35万m</w:t>
                  </w:r>
                  <w:r>
                    <w:rPr>
                      <w:rFonts w:ascii="Times New Roman" w:hAnsi="Times New Roman" w:eastAsia="宋体" w:cs="Times New Roman"/>
                      <w:szCs w:val="21"/>
                      <w:vertAlign w:val="superscript"/>
                    </w:rPr>
                    <w:t>3</w:t>
                  </w:r>
                  <w:r>
                    <w:rPr>
                      <w:rFonts w:ascii="Times New Roman" w:hAnsi="Times New Roman" w:eastAsia="宋体" w:cs="Times New Roman"/>
                      <w:szCs w:val="21"/>
                    </w:rPr>
                    <w:t>沥青混凝土，其中普通沥青混凝土30万m</w:t>
                  </w:r>
                  <w:r>
                    <w:rPr>
                      <w:rFonts w:ascii="Times New Roman" w:hAnsi="Times New Roman" w:eastAsia="宋体" w:cs="Times New Roman"/>
                      <w:szCs w:val="21"/>
                      <w:vertAlign w:val="superscript"/>
                    </w:rPr>
                    <w:t>3</w:t>
                  </w:r>
                  <w:r>
                    <w:rPr>
                      <w:rFonts w:ascii="Times New Roman" w:hAnsi="Times New Roman" w:eastAsia="宋体" w:cs="Times New Roman"/>
                      <w:szCs w:val="21"/>
                    </w:rPr>
                    <w:t>，彩色沥青混凝土5万m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894" w:type="pct"/>
                  <w:vAlign w:val="center"/>
                </w:tcPr>
                <w:p>
                  <w:pPr>
                    <w:pStyle w:val="27"/>
                    <w:widowControl/>
                    <w:suppressLineNumbers/>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294" w:type="pct"/>
                  <w:vMerge w:val="continue"/>
                  <w:vAlign w:val="center"/>
                </w:tcPr>
                <w:p>
                  <w:pPr>
                    <w:widowControl/>
                    <w:suppressLineNumbers/>
                    <w:spacing w:line="320" w:lineRule="exact"/>
                    <w:jc w:val="center"/>
                    <w:rPr>
                      <w:rFonts w:ascii="Times New Roman" w:hAnsi="Times New Roman" w:eastAsia="宋体" w:cs="Times New Roman"/>
                      <w:szCs w:val="21"/>
                    </w:rPr>
                  </w:pPr>
                </w:p>
              </w:tc>
              <w:tc>
                <w:tcPr>
                  <w:tcW w:w="437"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沥青改性装置</w:t>
                  </w:r>
                </w:p>
              </w:tc>
              <w:tc>
                <w:tcPr>
                  <w:tcW w:w="1633" w:type="pct"/>
                  <w:vAlign w:val="center"/>
                </w:tcPr>
                <w:p>
                  <w:pPr>
                    <w:widowControl/>
                    <w:suppressLineNumbers/>
                    <w:tabs>
                      <w:tab w:val="left" w:pos="360"/>
                      <w:tab w:val="center" w:pos="630"/>
                    </w:tab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w:t>
                  </w:r>
                </w:p>
              </w:tc>
              <w:tc>
                <w:tcPr>
                  <w:tcW w:w="1742" w:type="pct"/>
                  <w:vAlign w:val="center"/>
                </w:tcPr>
                <w:p>
                  <w:pPr>
                    <w:widowControl/>
                    <w:suppressLineNumbers/>
                    <w:tabs>
                      <w:tab w:val="left" w:pos="360"/>
                      <w:tab w:val="center" w:pos="630"/>
                    </w:tab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已建设一套沥青改性装置，处理能力为20t/h，</w:t>
                  </w:r>
                </w:p>
              </w:tc>
              <w:tc>
                <w:tcPr>
                  <w:tcW w:w="894" w:type="pct"/>
                  <w:vAlign w:val="center"/>
                </w:tcPr>
                <w:p>
                  <w:pPr>
                    <w:pStyle w:val="27"/>
                    <w:widowControl/>
                    <w:suppressLineNumbers/>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原环评未提及改性装置，验收补充。</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80" w:hRule="atLeast"/>
              </w:trPr>
              <w:tc>
                <w:tcPr>
                  <w:tcW w:w="294"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辅助工程</w:t>
                  </w:r>
                </w:p>
              </w:tc>
              <w:tc>
                <w:tcPr>
                  <w:tcW w:w="437"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锅炉</w:t>
                  </w:r>
                </w:p>
              </w:tc>
              <w:tc>
                <w:tcPr>
                  <w:tcW w:w="1633"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安装一台2.5t/h燃气导热油炉，一套燃气的加热炉用于生产供热。一台1t/h燃气热水锅炉用于生活供热。</w:t>
                  </w:r>
                </w:p>
              </w:tc>
              <w:tc>
                <w:tcPr>
                  <w:tcW w:w="1742"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已安装一台2.5t/h燃气导热油炉，已安装一套燃气的加热炉用于生产供热。已安装一台1t/h燃气热水锅炉用于生活供热。</w:t>
                  </w:r>
                </w:p>
              </w:tc>
              <w:tc>
                <w:tcPr>
                  <w:tcW w:w="894"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80" w:hRule="atLeast"/>
              </w:trPr>
              <w:tc>
                <w:tcPr>
                  <w:tcW w:w="294" w:type="pct"/>
                  <w:vMerge w:val="restar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公用工程</w:t>
                  </w:r>
                </w:p>
              </w:tc>
              <w:tc>
                <w:tcPr>
                  <w:tcW w:w="437"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供水系统</w:t>
                  </w:r>
                </w:p>
              </w:tc>
              <w:tc>
                <w:tcPr>
                  <w:tcW w:w="1633"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本项目无生产用水，本项目厂区生活用水利用厂区内原有水井所提供</w:t>
                  </w:r>
                  <w:r>
                    <w:rPr>
                      <w:rFonts w:ascii="Times New Roman" w:hAnsi="Times New Roman" w:eastAsia="宋体" w:cs="Times New Roman"/>
                      <w:kern w:val="0"/>
                      <w:szCs w:val="21"/>
                      <w:lang w:val="zh-CN"/>
                    </w:rPr>
                    <w:t>。</w:t>
                  </w:r>
                </w:p>
              </w:tc>
              <w:tc>
                <w:tcPr>
                  <w:tcW w:w="1742"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本项目无生产用水，本项目厂区生活用水依托园区供水管网提供</w:t>
                  </w:r>
                  <w:r>
                    <w:rPr>
                      <w:rFonts w:ascii="Times New Roman" w:hAnsi="Times New Roman" w:eastAsia="宋体" w:cs="Times New Roman"/>
                      <w:kern w:val="0"/>
                      <w:szCs w:val="21"/>
                      <w:lang w:val="zh-CN"/>
                    </w:rPr>
                    <w:t>。</w:t>
                  </w:r>
                </w:p>
              </w:tc>
              <w:tc>
                <w:tcPr>
                  <w:tcW w:w="894"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已由园区供水管网统一提供用水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80" w:hRule="atLeast"/>
              </w:trPr>
              <w:tc>
                <w:tcPr>
                  <w:tcW w:w="294" w:type="pct"/>
                  <w:vMerge w:val="continue"/>
                  <w:vAlign w:val="center"/>
                </w:tcPr>
                <w:p>
                  <w:pPr>
                    <w:widowControl/>
                    <w:suppressLineNumbers/>
                    <w:spacing w:line="320" w:lineRule="exact"/>
                    <w:jc w:val="center"/>
                    <w:rPr>
                      <w:rFonts w:ascii="Times New Roman" w:hAnsi="Times New Roman" w:eastAsia="宋体" w:cs="Times New Roman"/>
                      <w:szCs w:val="21"/>
                    </w:rPr>
                  </w:pPr>
                </w:p>
              </w:tc>
              <w:tc>
                <w:tcPr>
                  <w:tcW w:w="437"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排水系统</w:t>
                  </w:r>
                </w:p>
              </w:tc>
              <w:tc>
                <w:tcPr>
                  <w:tcW w:w="1633"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kern w:val="0"/>
                      <w:szCs w:val="21"/>
                      <w:lang w:val="zh-CN"/>
                    </w:rPr>
                    <w:t>本项目无生产废水排放，</w:t>
                  </w:r>
                  <w:r>
                    <w:rPr>
                      <w:rFonts w:ascii="Times New Roman" w:hAnsi="Times New Roman" w:eastAsia="宋体" w:cs="Times New Roman"/>
                      <w:kern w:val="0"/>
                      <w:szCs w:val="21"/>
                    </w:rPr>
                    <w:t>本项目废水为生活污水，</w:t>
                  </w:r>
                  <w:r>
                    <w:rPr>
                      <w:rFonts w:ascii="Times New Roman" w:hAnsi="Times New Roman" w:eastAsia="宋体" w:cs="Times New Roman"/>
                      <w:szCs w:val="21"/>
                    </w:rPr>
                    <w:t>生活污水排入自建的防渗污水池收集，定期运送至东城区污水处理厂处理后排入北二十里泡</w:t>
                  </w:r>
                  <w:r>
                    <w:rPr>
                      <w:rFonts w:ascii="Times New Roman" w:hAnsi="Times New Roman" w:eastAsia="宋体" w:cs="Times New Roman"/>
                      <w:kern w:val="0"/>
                      <w:szCs w:val="21"/>
                      <w:lang w:val="zh-CN"/>
                    </w:rPr>
                    <w:t>。</w:t>
                  </w:r>
                </w:p>
              </w:tc>
              <w:tc>
                <w:tcPr>
                  <w:tcW w:w="1742"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kern w:val="0"/>
                      <w:szCs w:val="21"/>
                      <w:lang w:val="zh-CN"/>
                    </w:rPr>
                    <w:t>本项目无生产废水排放，</w:t>
                  </w:r>
                  <w:r>
                    <w:rPr>
                      <w:rFonts w:ascii="Times New Roman" w:hAnsi="Times New Roman" w:eastAsia="宋体" w:cs="Times New Roman"/>
                      <w:kern w:val="0"/>
                      <w:szCs w:val="21"/>
                    </w:rPr>
                    <w:t>本项目废水为生活污水，</w:t>
                  </w:r>
                  <w:r>
                    <w:rPr>
                      <w:rFonts w:ascii="Times New Roman" w:hAnsi="Times New Roman" w:eastAsia="宋体" w:cs="Times New Roman"/>
                      <w:szCs w:val="21"/>
                    </w:rPr>
                    <w:t>生活污水排入自建的防渗污水池收集，再经由下水管网后排入污水处理厂处理。</w:t>
                  </w:r>
                </w:p>
              </w:tc>
              <w:tc>
                <w:tcPr>
                  <w:tcW w:w="894"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94" w:type="pct"/>
                  <w:vMerge w:val="continue"/>
                  <w:vAlign w:val="center"/>
                </w:tcPr>
                <w:p>
                  <w:pPr>
                    <w:widowControl/>
                    <w:suppressLineNumbers/>
                    <w:spacing w:line="320" w:lineRule="exact"/>
                    <w:jc w:val="center"/>
                    <w:rPr>
                      <w:rFonts w:ascii="Times New Roman" w:hAnsi="Times New Roman" w:eastAsia="宋体" w:cs="Times New Roman"/>
                      <w:szCs w:val="21"/>
                    </w:rPr>
                  </w:pPr>
                </w:p>
              </w:tc>
              <w:tc>
                <w:tcPr>
                  <w:tcW w:w="437"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供电系统</w:t>
                  </w:r>
                </w:p>
              </w:tc>
              <w:tc>
                <w:tcPr>
                  <w:tcW w:w="1633"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本项目所在地电力资源丰富，由附近变电所引入10kV电力线路覆盖全区，</w:t>
                  </w:r>
                  <w:r>
                    <w:rPr>
                      <w:rFonts w:ascii="Times New Roman" w:hAnsi="Times New Roman" w:eastAsia="宋体" w:cs="Times New Roman"/>
                      <w:bCs/>
                      <w:szCs w:val="21"/>
                    </w:rPr>
                    <w:t>用电量约</w:t>
                  </w:r>
                  <w:r>
                    <w:rPr>
                      <w:rFonts w:ascii="Times New Roman" w:hAnsi="Times New Roman" w:eastAsia="宋体" w:cs="Times New Roman"/>
                      <w:kern w:val="0"/>
                      <w:szCs w:val="21"/>
                    </w:rPr>
                    <w:t>2.5×10</w:t>
                  </w:r>
                  <w:r>
                    <w:rPr>
                      <w:rFonts w:ascii="Times New Roman" w:hAnsi="Times New Roman" w:eastAsia="宋体" w:cs="Times New Roman"/>
                      <w:kern w:val="0"/>
                      <w:szCs w:val="21"/>
                      <w:vertAlign w:val="superscript"/>
                    </w:rPr>
                    <w:t>5</w:t>
                  </w:r>
                  <w:r>
                    <w:rPr>
                      <w:rFonts w:ascii="Times New Roman" w:hAnsi="Times New Roman" w:eastAsia="宋体" w:cs="Times New Roman"/>
                      <w:kern w:val="0"/>
                      <w:szCs w:val="21"/>
                    </w:rPr>
                    <w:t>kWh/a</w:t>
                  </w:r>
                  <w:r>
                    <w:rPr>
                      <w:rFonts w:ascii="Times New Roman" w:hAnsi="Times New Roman" w:eastAsia="宋体" w:cs="Times New Roman"/>
                      <w:szCs w:val="21"/>
                    </w:rPr>
                    <w:t>。</w:t>
                  </w:r>
                </w:p>
              </w:tc>
              <w:tc>
                <w:tcPr>
                  <w:tcW w:w="1742"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本项目所在地电力资源丰富，由附近变电所引入10kV电力线路覆盖全区，</w:t>
                  </w:r>
                  <w:r>
                    <w:rPr>
                      <w:rFonts w:ascii="Times New Roman" w:hAnsi="Times New Roman" w:eastAsia="宋体" w:cs="Times New Roman"/>
                      <w:bCs/>
                      <w:szCs w:val="21"/>
                    </w:rPr>
                    <w:t>用电量约</w:t>
                  </w:r>
                  <w:r>
                    <w:rPr>
                      <w:rFonts w:ascii="Times New Roman" w:hAnsi="Times New Roman" w:eastAsia="宋体" w:cs="Times New Roman"/>
                      <w:kern w:val="0"/>
                      <w:szCs w:val="21"/>
                    </w:rPr>
                    <w:t>2.5×10</w:t>
                  </w:r>
                  <w:r>
                    <w:rPr>
                      <w:rFonts w:ascii="Times New Roman" w:hAnsi="Times New Roman" w:eastAsia="宋体" w:cs="Times New Roman"/>
                      <w:kern w:val="0"/>
                      <w:szCs w:val="21"/>
                      <w:vertAlign w:val="superscript"/>
                    </w:rPr>
                    <w:t>5</w:t>
                  </w:r>
                  <w:r>
                    <w:rPr>
                      <w:rFonts w:ascii="Times New Roman" w:hAnsi="Times New Roman" w:eastAsia="宋体" w:cs="Times New Roman"/>
                      <w:kern w:val="0"/>
                      <w:szCs w:val="21"/>
                    </w:rPr>
                    <w:t>kWh/a</w:t>
                  </w:r>
                  <w:r>
                    <w:rPr>
                      <w:rFonts w:ascii="Times New Roman" w:hAnsi="Times New Roman" w:eastAsia="宋体" w:cs="Times New Roman"/>
                      <w:szCs w:val="21"/>
                    </w:rPr>
                    <w:t>。</w:t>
                  </w:r>
                </w:p>
              </w:tc>
              <w:tc>
                <w:tcPr>
                  <w:tcW w:w="894"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294" w:type="pct"/>
                  <w:vMerge w:val="continue"/>
                  <w:vAlign w:val="center"/>
                </w:tcPr>
                <w:p>
                  <w:pPr>
                    <w:widowControl/>
                    <w:suppressLineNumbers/>
                    <w:spacing w:line="320" w:lineRule="exact"/>
                    <w:jc w:val="center"/>
                    <w:rPr>
                      <w:rFonts w:ascii="Times New Roman" w:hAnsi="Times New Roman" w:eastAsia="宋体" w:cs="Times New Roman"/>
                      <w:szCs w:val="21"/>
                    </w:rPr>
                  </w:pPr>
                </w:p>
              </w:tc>
              <w:tc>
                <w:tcPr>
                  <w:tcW w:w="437"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供热系统</w:t>
                  </w:r>
                </w:p>
              </w:tc>
              <w:tc>
                <w:tcPr>
                  <w:tcW w:w="1633"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项目生产用热由一台新建的2.5t/h燃气导热油炉和1台加热炉所提供。本项目冬季不生产，无需对生产区域进行供热，仅对生活区进行供热，生活供热由一台新建的1t/h燃气热水锅炉提供。</w:t>
                  </w:r>
                </w:p>
              </w:tc>
              <w:tc>
                <w:tcPr>
                  <w:tcW w:w="1742"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项目生产用热由一台已建设的2.5t/h燃气导热油炉和1台加热炉所提供。本项目冬季不生产，无需对生产区域进行供热，仅对生活区进行供热，生活供热由一台已建设的1t/h燃气热水锅炉提供。</w:t>
                  </w:r>
                </w:p>
              </w:tc>
              <w:tc>
                <w:tcPr>
                  <w:tcW w:w="894"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bCs/>
                      <w:szCs w:val="21"/>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64" w:hRule="atLeast"/>
              </w:trPr>
              <w:tc>
                <w:tcPr>
                  <w:tcW w:w="294" w:type="pct"/>
                  <w:vMerge w:val="continue"/>
                  <w:vAlign w:val="center"/>
                </w:tcPr>
                <w:p>
                  <w:pPr>
                    <w:widowControl/>
                    <w:suppressLineNumbers/>
                    <w:spacing w:line="320" w:lineRule="exact"/>
                    <w:jc w:val="center"/>
                    <w:rPr>
                      <w:rFonts w:ascii="Times New Roman" w:hAnsi="Times New Roman" w:eastAsia="宋体" w:cs="Times New Roman"/>
                      <w:color w:val="FF0000"/>
                      <w:szCs w:val="21"/>
                    </w:rPr>
                  </w:pPr>
                </w:p>
              </w:tc>
              <w:tc>
                <w:tcPr>
                  <w:tcW w:w="437"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消防系统</w:t>
                  </w:r>
                </w:p>
              </w:tc>
              <w:tc>
                <w:tcPr>
                  <w:tcW w:w="1633"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bCs/>
                      <w:szCs w:val="21"/>
                    </w:rPr>
                    <w:t>项目按消防安全的要求配备灭火器；项目安装消防栓，消防供水量满足20L/s要求</w:t>
                  </w:r>
                  <w:r>
                    <w:rPr>
                      <w:rFonts w:ascii="Times New Roman" w:hAnsi="Times New Roman" w:eastAsia="宋体" w:cs="Times New Roman"/>
                      <w:szCs w:val="21"/>
                    </w:rPr>
                    <w:t>。</w:t>
                  </w:r>
                </w:p>
              </w:tc>
              <w:tc>
                <w:tcPr>
                  <w:tcW w:w="1742" w:type="pct"/>
                  <w:vAlign w:val="center"/>
                </w:tcPr>
                <w:p>
                  <w:pPr>
                    <w:widowControl/>
                    <w:suppressLineNumbers/>
                    <w:spacing w:line="320" w:lineRule="exact"/>
                    <w:jc w:val="center"/>
                    <w:rPr>
                      <w:rFonts w:ascii="Times New Roman" w:hAnsi="Times New Roman" w:eastAsia="宋体" w:cs="Times New Roman"/>
                      <w:b/>
                      <w:szCs w:val="21"/>
                    </w:rPr>
                  </w:pPr>
                  <w:r>
                    <w:rPr>
                      <w:rFonts w:ascii="Times New Roman" w:hAnsi="Times New Roman" w:eastAsia="宋体" w:cs="Times New Roman"/>
                      <w:bCs/>
                      <w:szCs w:val="21"/>
                    </w:rPr>
                    <w:t>项目按消防安全的要求已配备灭火器；项目安装消防栓，消防供水量满足20L/s要求</w:t>
                  </w:r>
                  <w:r>
                    <w:rPr>
                      <w:rFonts w:ascii="Times New Roman" w:hAnsi="Times New Roman" w:eastAsia="宋体" w:cs="Times New Roman"/>
                      <w:szCs w:val="21"/>
                    </w:rPr>
                    <w:t>。</w:t>
                  </w:r>
                </w:p>
              </w:tc>
              <w:tc>
                <w:tcPr>
                  <w:tcW w:w="894"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bCs/>
                      <w:szCs w:val="21"/>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31" w:hRule="atLeast"/>
              </w:trPr>
              <w:tc>
                <w:tcPr>
                  <w:tcW w:w="294" w:type="pct"/>
                  <w:vMerge w:val="restar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环保工程</w:t>
                  </w:r>
                </w:p>
              </w:tc>
              <w:tc>
                <w:tcPr>
                  <w:tcW w:w="437"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废水</w:t>
                  </w:r>
                </w:p>
              </w:tc>
              <w:tc>
                <w:tcPr>
                  <w:tcW w:w="1633"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lang w:val="zh-CN"/>
                    </w:rPr>
                    <w:t>本项目不产生生产废水，</w:t>
                  </w:r>
                  <w:r>
                    <w:rPr>
                      <w:rFonts w:ascii="Times New Roman" w:hAnsi="Times New Roman" w:eastAsia="宋体" w:cs="Times New Roman"/>
                      <w:szCs w:val="21"/>
                    </w:rPr>
                    <w:t>生活污水排入自建的防渗污水池收集，定期运送至东城区污水处理厂处理后排入北二十里泡</w:t>
                  </w:r>
                  <w:r>
                    <w:rPr>
                      <w:rFonts w:ascii="Times New Roman" w:hAnsi="Times New Roman" w:eastAsia="宋体" w:cs="Times New Roman"/>
                      <w:szCs w:val="21"/>
                      <w:lang w:val="zh-CN"/>
                    </w:rPr>
                    <w:t>。</w:t>
                  </w:r>
                  <w:r>
                    <w:rPr>
                      <w:rFonts w:ascii="Times New Roman" w:hAnsi="Times New Roman" w:eastAsia="宋体" w:cs="Times New Roman"/>
                      <w:bCs/>
                      <w:szCs w:val="21"/>
                    </w:rPr>
                    <w:t>基础必须防渗，防渗层为1m厚的粘土层，渗透系数≤10</w:t>
                  </w:r>
                  <w:r>
                    <w:rPr>
                      <w:rFonts w:ascii="Times New Roman" w:hAnsi="Times New Roman" w:eastAsia="宋体" w:cs="Times New Roman"/>
                      <w:bCs/>
                      <w:szCs w:val="21"/>
                      <w:vertAlign w:val="superscript"/>
                    </w:rPr>
                    <w:t>-7</w:t>
                  </w:r>
                  <w:r>
                    <w:rPr>
                      <w:rFonts w:ascii="Times New Roman" w:hAnsi="Times New Roman" w:eastAsia="宋体" w:cs="Times New Roman"/>
                      <w:bCs/>
                      <w:szCs w:val="21"/>
                    </w:rPr>
                    <w:t>cm/s</w:t>
                  </w:r>
                  <w:r>
                    <w:rPr>
                      <w:rFonts w:ascii="Times New Roman" w:hAnsi="Times New Roman" w:eastAsia="宋体" w:cs="Times New Roman"/>
                      <w:szCs w:val="21"/>
                      <w:lang w:val="zh-CN"/>
                    </w:rPr>
                    <w:t>。</w:t>
                  </w:r>
                </w:p>
              </w:tc>
              <w:tc>
                <w:tcPr>
                  <w:tcW w:w="1742"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lang w:val="zh-CN"/>
                    </w:rPr>
                    <w:t>本项目不产生生产废水，</w:t>
                  </w:r>
                  <w:r>
                    <w:rPr>
                      <w:rFonts w:ascii="Times New Roman" w:hAnsi="Times New Roman" w:eastAsia="宋体" w:cs="Times New Roman"/>
                      <w:szCs w:val="21"/>
                    </w:rPr>
                    <w:t>生活污水排入自建的防渗污水池收集，经下水管网排至东城区污水处理厂处理后排入北二十里泡</w:t>
                  </w:r>
                  <w:r>
                    <w:rPr>
                      <w:rFonts w:ascii="Times New Roman" w:hAnsi="Times New Roman" w:eastAsia="宋体" w:cs="Times New Roman"/>
                      <w:szCs w:val="21"/>
                      <w:lang w:val="zh-CN"/>
                    </w:rPr>
                    <w:t>。</w:t>
                  </w:r>
                  <w:r>
                    <w:rPr>
                      <w:rFonts w:ascii="Times New Roman" w:hAnsi="Times New Roman" w:eastAsia="宋体" w:cs="Times New Roman"/>
                      <w:bCs/>
                      <w:szCs w:val="21"/>
                    </w:rPr>
                    <w:t>基础必须防渗，防渗层为1m厚的粘土层，渗透系数≤10</w:t>
                  </w:r>
                  <w:r>
                    <w:rPr>
                      <w:rFonts w:ascii="Times New Roman" w:hAnsi="Times New Roman" w:eastAsia="宋体" w:cs="Times New Roman"/>
                      <w:bCs/>
                      <w:szCs w:val="21"/>
                      <w:vertAlign w:val="superscript"/>
                    </w:rPr>
                    <w:t>-7</w:t>
                  </w:r>
                  <w:r>
                    <w:rPr>
                      <w:rFonts w:ascii="Times New Roman" w:hAnsi="Times New Roman" w:eastAsia="宋体" w:cs="Times New Roman"/>
                      <w:bCs/>
                      <w:szCs w:val="21"/>
                    </w:rPr>
                    <w:t>cm/s</w:t>
                  </w:r>
                  <w:r>
                    <w:rPr>
                      <w:rFonts w:ascii="Times New Roman" w:hAnsi="Times New Roman" w:eastAsia="宋体" w:cs="Times New Roman"/>
                      <w:szCs w:val="21"/>
                      <w:lang w:val="zh-CN"/>
                    </w:rPr>
                    <w:t>。</w:t>
                  </w:r>
                </w:p>
              </w:tc>
              <w:tc>
                <w:tcPr>
                  <w:tcW w:w="894"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不拉运，采用下水管网管输至东城区污水处理厂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737" w:hRule="atLeast"/>
              </w:trPr>
              <w:tc>
                <w:tcPr>
                  <w:tcW w:w="294" w:type="pct"/>
                  <w:vMerge w:val="continue"/>
                  <w:vAlign w:val="center"/>
                </w:tcPr>
                <w:p>
                  <w:pPr>
                    <w:widowControl/>
                    <w:suppressLineNumbers/>
                    <w:spacing w:line="320" w:lineRule="exact"/>
                    <w:jc w:val="center"/>
                    <w:rPr>
                      <w:rFonts w:ascii="Times New Roman" w:hAnsi="Times New Roman" w:eastAsia="宋体" w:cs="Times New Roman"/>
                      <w:color w:val="FF0000"/>
                      <w:szCs w:val="21"/>
                    </w:rPr>
                  </w:pPr>
                </w:p>
              </w:tc>
              <w:tc>
                <w:tcPr>
                  <w:tcW w:w="437"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废气</w:t>
                  </w:r>
                </w:p>
              </w:tc>
              <w:tc>
                <w:tcPr>
                  <w:tcW w:w="1633"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kern w:val="0"/>
                      <w:szCs w:val="21"/>
                    </w:rPr>
                    <w:t>搅拌中产生的沥青烟、苯并（a）芘利用活性炭吸附法对收集的沥青烟气进行净化处理，干燥筒产生的粉尘利用布袋除尘器进行除尘，搅拌和干燥筒产生的废气处理后经生产设备上方的1根15m高的排气筒排放；沥青储罐保温加热过程产生的沥青烟，该部分沥青烟经沥青罐呼吸口排出，在呼吸口设置导气管，并将呼吸产生的废气导入到活性炭吸附装置（与生产共用一套环保措施）后由15m高的烟囱排放；生产所用的导热油炉产生的锅炉废气由新建的1根20m高烟囱排放；新建的加热炉采用天然气作为原料，产生的废气经1根20m高烟囱排放；生活所用的天然气锅炉由新建的1根15m高烟囱排放；本项目在碎石、矿粉卸料和堆放过程以及输送过程会产生少量的无组织粉尘，洒水及防风抑尘网降尘，加强绿化，做好设备的密闭，来减少粉尘无组织排放量；本项目食堂安装油烟净化器，处理效率不低于60%，经油烟净化器处理后经专用烟道引至所在建]筑物顶部排放。</w:t>
                  </w:r>
                </w:p>
              </w:tc>
              <w:tc>
                <w:tcPr>
                  <w:tcW w:w="1742" w:type="pct"/>
                  <w:vAlign w:val="center"/>
                </w:tcPr>
                <w:p>
                  <w:pPr>
                    <w:widowControl/>
                    <w:suppressLineNumbers/>
                    <w:spacing w:line="320" w:lineRule="exact"/>
                    <w:jc w:val="center"/>
                    <w:rPr>
                      <w:rFonts w:ascii="Times New Roman" w:hAnsi="Times New Roman" w:eastAsia="宋体" w:cs="Times New Roman"/>
                      <w:kern w:val="0"/>
                      <w:szCs w:val="21"/>
                      <w:highlight w:val="none"/>
                    </w:rPr>
                  </w:pPr>
                  <w:r>
                    <w:rPr>
                      <w:rFonts w:ascii="Times New Roman" w:hAnsi="Times New Roman" w:eastAsia="宋体" w:cs="Times New Roman"/>
                      <w:szCs w:val="21"/>
                      <w:highlight w:val="none"/>
                    </w:rPr>
                    <w:t>已建设：</w:t>
                  </w:r>
                  <w:r>
                    <w:rPr>
                      <w:rFonts w:ascii="Times New Roman" w:hAnsi="Times New Roman" w:eastAsia="宋体" w:cs="Times New Roman"/>
                      <w:kern w:val="0"/>
                      <w:szCs w:val="21"/>
                      <w:highlight w:val="none"/>
                    </w:rPr>
                    <w:t>搅拌中产生的沥青烟、苯并（a）芘收集的烟气</w:t>
                  </w:r>
                  <w:r>
                    <w:rPr>
                      <w:rFonts w:hint="eastAsia" w:ascii="Times New Roman" w:hAnsi="Times New Roman" w:eastAsia="宋体" w:cs="Times New Roman"/>
                      <w:kern w:val="0"/>
                      <w:szCs w:val="21"/>
                      <w:highlight w:val="none"/>
                    </w:rPr>
                    <w:t>由</w:t>
                  </w:r>
                  <w:r>
                    <w:rPr>
                      <w:rFonts w:ascii="Times New Roman" w:hAnsi="Times New Roman" w:cs="Times New Roman"/>
                      <w:bCs/>
                      <w:szCs w:val="21"/>
                      <w:highlight w:val="none"/>
                    </w:rPr>
                    <w:t>喷淋塔+</w:t>
                  </w:r>
                  <w:r>
                    <w:rPr>
                      <w:rFonts w:ascii="Times New Roman" w:hAnsi="Times New Roman" w:eastAsia="宋体" w:cs="Times New Roman"/>
                      <w:kern w:val="0"/>
                      <w:szCs w:val="21"/>
                      <w:highlight w:val="none"/>
                    </w:rPr>
                    <w:t>1套动离除雾设备+1套光氧催化设备+1套活性炭吸附装置与生产共用一套环保措施（TA001）净化处理，后由15m高的</w:t>
                  </w:r>
                  <w:r>
                    <w:rPr>
                      <w:rFonts w:hint="eastAsia" w:ascii="Times New Roman" w:hAnsi="Times New Roman" w:eastAsia="宋体" w:cs="Times New Roman"/>
                      <w:kern w:val="0"/>
                      <w:szCs w:val="21"/>
                      <w:highlight w:val="none"/>
                    </w:rPr>
                    <w:t>排气筒</w:t>
                  </w:r>
                  <w:r>
                    <w:rPr>
                      <w:rFonts w:ascii="Times New Roman" w:hAnsi="Times New Roman" w:eastAsia="宋体" w:cs="Times New Roman"/>
                      <w:kern w:val="0"/>
                      <w:szCs w:val="21"/>
                      <w:highlight w:val="none"/>
                    </w:rPr>
                    <w:t>排放(DA001)；干燥筒采用天然气燃烧器加热，产生的粉尘利用布袋除尘器进行除尘，干燥筒产生的废气处理后经生产设备上方的布袋除尘器(TA002)+1根15m高的排气筒排放（DA002）；沥青储罐保温加热过程产生的沥青烟，该部分沥青烟经沥青罐呼吸口排出，在呼吸口设置导气管，并将呼吸产生的废气导入到</w:t>
                  </w:r>
                  <w:r>
                    <w:rPr>
                      <w:rFonts w:ascii="Times New Roman" w:hAnsi="Times New Roman" w:cs="Times New Roman"/>
                      <w:bCs/>
                      <w:szCs w:val="21"/>
                      <w:highlight w:val="none"/>
                    </w:rPr>
                    <w:t>喷淋塔</w:t>
                  </w:r>
                  <w:r>
                    <w:rPr>
                      <w:rFonts w:hint="eastAsia" w:ascii="Times New Roman" w:hAnsi="Times New Roman" w:cs="Times New Roman"/>
                      <w:bCs/>
                      <w:szCs w:val="21"/>
                      <w:highlight w:val="none"/>
                    </w:rPr>
                    <w:t>+</w:t>
                  </w:r>
                  <w:r>
                    <w:rPr>
                      <w:rFonts w:ascii="Times New Roman" w:hAnsi="Times New Roman" w:eastAsia="宋体" w:cs="Times New Roman"/>
                      <w:kern w:val="0"/>
                      <w:szCs w:val="21"/>
                      <w:highlight w:val="none"/>
                    </w:rPr>
                    <w:t>1套动离除雾设备+1套光氧催化设备+1套活性炭吸附装置与生产共用一套环保措施（TA001）后由15m高的烟囱排放(DA001)，根据实际情况，建设过程中</w:t>
                  </w:r>
                  <w:r>
                    <w:rPr>
                      <w:rFonts w:hint="eastAsia" w:ascii="Times New Roman" w:hAnsi="Times New Roman" w:eastAsia="宋体" w:cs="Times New Roman"/>
                      <w:kern w:val="0"/>
                      <w:szCs w:val="21"/>
                      <w:highlight w:val="none"/>
                    </w:rPr>
                    <w:t>对照</w:t>
                  </w:r>
                  <w:r>
                    <w:rPr>
                      <w:rFonts w:ascii="Times New Roman" w:hAnsi="Times New Roman" w:eastAsia="宋体" w:cs="Times New Roman"/>
                      <w:kern w:val="0"/>
                      <w:szCs w:val="21"/>
                      <w:highlight w:val="none"/>
                    </w:rPr>
                    <w:t>环评中</w:t>
                  </w:r>
                  <w:r>
                    <w:rPr>
                      <w:rFonts w:hint="eastAsia" w:ascii="Times New Roman" w:hAnsi="Times New Roman" w:eastAsia="宋体" w:cs="Times New Roman"/>
                      <w:kern w:val="0"/>
                      <w:szCs w:val="21"/>
                      <w:highlight w:val="none"/>
                    </w:rPr>
                    <w:t>减</w:t>
                  </w:r>
                  <w:r>
                    <w:rPr>
                      <w:rFonts w:ascii="Times New Roman" w:hAnsi="Times New Roman" w:eastAsia="宋体" w:cs="Times New Roman"/>
                      <w:kern w:val="0"/>
                      <w:szCs w:val="21"/>
                      <w:highlight w:val="none"/>
                    </w:rPr>
                    <w:t>少一个沥青储罐，</w:t>
                  </w:r>
                  <w:r>
                    <w:rPr>
                      <w:rFonts w:hint="eastAsia" w:ascii="Times New Roman" w:hAnsi="Times New Roman" w:eastAsia="宋体" w:cs="Times New Roman"/>
                      <w:kern w:val="0"/>
                      <w:szCs w:val="21"/>
                      <w:highlight w:val="none"/>
                    </w:rPr>
                    <w:t>本项目</w:t>
                  </w:r>
                  <w:r>
                    <w:rPr>
                      <w:rFonts w:ascii="Times New Roman" w:hAnsi="Times New Roman" w:eastAsia="宋体" w:cs="Times New Roman"/>
                      <w:kern w:val="0"/>
                      <w:szCs w:val="21"/>
                      <w:highlight w:val="none"/>
                    </w:rPr>
                    <w:t>生产所需的沥青量不大，可满足生产规模和需求；生产所用的导热油炉产生的锅炉废气由新建的1根20m高烟囱排放（DA003）；生活所用的天然气锅炉由新建的1根15m高烟囱排放（DA004）；上料配料过程产生的颗粒物有组织收集经水除尘后由15m高排气筒有组织排放(DA005)；本项目在碎石、矿粉卸料和堆放过程以及输送过程会产生少量的无组织粉尘，洒水及防风抑尘网降尘，加强绿化，做好设备的密闭，来减少粉尘无组织排放量；本项目食堂安装油烟净化器，处理效率不低于60%，经油烟净化器处理后经专用烟道引至所在建筑物顶部排放(DA006)。</w:t>
                  </w:r>
                </w:p>
              </w:tc>
              <w:tc>
                <w:tcPr>
                  <w:tcW w:w="894" w:type="pct"/>
                  <w:vAlign w:val="center"/>
                </w:tcPr>
                <w:p>
                  <w:pPr>
                    <w:widowControl/>
                    <w:suppressLineNumbers/>
                    <w:spacing w:line="320" w:lineRule="exact"/>
                    <w:jc w:val="center"/>
                    <w:rPr>
                      <w:rFonts w:ascii="Times New Roman" w:hAnsi="Times New Roman" w:eastAsia="宋体" w:cs="Times New Roman"/>
                      <w:kern w:val="0"/>
                      <w:szCs w:val="21"/>
                    </w:rPr>
                  </w:pPr>
                  <w:r>
                    <w:rPr>
                      <w:rFonts w:ascii="Times New Roman" w:hAnsi="Times New Roman" w:eastAsia="宋体" w:cs="Times New Roman"/>
                      <w:kern w:val="0"/>
                      <w:szCs w:val="21"/>
                    </w:rPr>
                    <w:t>根据实际情况，建设过程中比环评中少一个沥青储罐，生产所需的沥青量不大，可满足生产规模和需求；污染防治措施加强。上料配料过程产生的颗粒物有组织收集经水除尘后由15m高排气筒有组织排放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45" w:hRule="atLeast"/>
              </w:trPr>
              <w:tc>
                <w:tcPr>
                  <w:tcW w:w="294" w:type="pct"/>
                  <w:vMerge w:val="continue"/>
                  <w:vAlign w:val="center"/>
                </w:tcPr>
                <w:p>
                  <w:pPr>
                    <w:widowControl/>
                    <w:suppressLineNumbers/>
                    <w:spacing w:line="320" w:lineRule="exact"/>
                    <w:jc w:val="center"/>
                    <w:rPr>
                      <w:rFonts w:ascii="Times New Roman" w:hAnsi="Times New Roman" w:eastAsia="宋体" w:cs="Times New Roman"/>
                      <w:color w:val="FF0000"/>
                      <w:szCs w:val="21"/>
                    </w:rPr>
                  </w:pPr>
                </w:p>
              </w:tc>
              <w:tc>
                <w:tcPr>
                  <w:tcW w:w="437"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噪声</w:t>
                  </w:r>
                </w:p>
              </w:tc>
              <w:tc>
                <w:tcPr>
                  <w:tcW w:w="1633" w:type="pct"/>
                  <w:vAlign w:val="center"/>
                </w:tcPr>
                <w:p>
                  <w:pPr>
                    <w:pStyle w:val="17"/>
                    <w:widowControl/>
                    <w:suppressLineNumbers/>
                    <w:spacing w:before="0" w:beforeAutospacing="0" w:after="0" w:afterAutospacing="0" w:line="320" w:lineRule="exact"/>
                    <w:jc w:val="center"/>
                    <w:rPr>
                      <w:rFonts w:ascii="Times New Roman" w:hAnsi="Times New Roman" w:eastAsia="宋体"/>
                      <w:kern w:val="2"/>
                      <w:sz w:val="21"/>
                      <w:szCs w:val="21"/>
                    </w:rPr>
                  </w:pPr>
                  <w:r>
                    <w:rPr>
                      <w:rFonts w:ascii="Times New Roman" w:hAnsi="Times New Roman" w:eastAsia="宋体"/>
                      <w:bCs/>
                      <w:sz w:val="21"/>
                      <w:szCs w:val="21"/>
                    </w:rPr>
                    <w:t>应优先选用低噪声设备，并对设备进行合理布局</w:t>
                  </w:r>
                  <w:r>
                    <w:rPr>
                      <w:rFonts w:ascii="Times New Roman" w:hAnsi="Times New Roman" w:eastAsia="宋体"/>
                      <w:sz w:val="21"/>
                      <w:szCs w:val="21"/>
                    </w:rPr>
                    <w:t>。</w:t>
                  </w:r>
                </w:p>
              </w:tc>
              <w:tc>
                <w:tcPr>
                  <w:tcW w:w="1742" w:type="pct"/>
                  <w:vAlign w:val="center"/>
                </w:tcPr>
                <w:p>
                  <w:pPr>
                    <w:pStyle w:val="17"/>
                    <w:widowControl/>
                    <w:suppressLineNumbers/>
                    <w:spacing w:before="0" w:beforeAutospacing="0" w:after="0" w:afterAutospacing="0" w:line="320" w:lineRule="exact"/>
                    <w:jc w:val="center"/>
                    <w:rPr>
                      <w:rFonts w:ascii="Times New Roman" w:hAnsi="Times New Roman" w:eastAsia="宋体"/>
                      <w:sz w:val="21"/>
                      <w:szCs w:val="21"/>
                    </w:rPr>
                  </w:pPr>
                  <w:r>
                    <w:rPr>
                      <w:rFonts w:ascii="Times New Roman" w:hAnsi="Times New Roman" w:eastAsia="宋体"/>
                      <w:bCs/>
                      <w:sz w:val="21"/>
                      <w:szCs w:val="21"/>
                    </w:rPr>
                    <w:t>已选用低噪声设备，已对设备进行合理布局</w:t>
                  </w:r>
                  <w:r>
                    <w:rPr>
                      <w:rFonts w:ascii="Times New Roman" w:hAnsi="Times New Roman" w:eastAsia="宋体"/>
                      <w:sz w:val="21"/>
                      <w:szCs w:val="21"/>
                    </w:rPr>
                    <w:t>。</w:t>
                  </w:r>
                </w:p>
              </w:tc>
              <w:tc>
                <w:tcPr>
                  <w:tcW w:w="894"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90" w:hRule="atLeast"/>
              </w:trPr>
              <w:tc>
                <w:tcPr>
                  <w:tcW w:w="294" w:type="pct"/>
                  <w:vMerge w:val="continue"/>
                  <w:vAlign w:val="center"/>
                </w:tcPr>
                <w:p>
                  <w:pPr>
                    <w:widowControl/>
                    <w:suppressLineNumbers/>
                    <w:spacing w:line="320" w:lineRule="exact"/>
                    <w:jc w:val="center"/>
                    <w:rPr>
                      <w:rFonts w:ascii="Times New Roman" w:hAnsi="Times New Roman" w:eastAsia="宋体" w:cs="Times New Roman"/>
                      <w:color w:val="FF0000"/>
                      <w:szCs w:val="21"/>
                    </w:rPr>
                  </w:pPr>
                </w:p>
              </w:tc>
              <w:tc>
                <w:tcPr>
                  <w:tcW w:w="437"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固废</w:t>
                  </w:r>
                </w:p>
              </w:tc>
              <w:tc>
                <w:tcPr>
                  <w:tcW w:w="1633"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kern w:val="0"/>
                      <w:szCs w:val="21"/>
                    </w:rPr>
                    <w:t>生活垃圾由市政部门统一收集处理；除尘器收集的粉尘、废石料集中收集，外售综合利用。废活性炭暂存于新建的3m</w:t>
                  </w:r>
                  <w:r>
                    <w:rPr>
                      <w:rFonts w:ascii="Times New Roman" w:hAnsi="Times New Roman" w:eastAsia="宋体" w:cs="Times New Roman"/>
                      <w:kern w:val="0"/>
                      <w:szCs w:val="21"/>
                      <w:vertAlign w:val="superscript"/>
                    </w:rPr>
                    <w:t>2</w:t>
                  </w:r>
                  <w:r>
                    <w:rPr>
                      <w:rFonts w:ascii="Times New Roman" w:hAnsi="Times New Roman" w:eastAsia="宋体" w:cs="Times New Roman"/>
                      <w:kern w:val="0"/>
                      <w:szCs w:val="21"/>
                    </w:rPr>
                    <w:t>危废暂存间内，定期交由有资质单位处理；危废暂存间地面基础必须防渗，防渗层为2mm厚的防渗人工材料，渗透系数≤10</w:t>
                  </w:r>
                  <w:r>
                    <w:rPr>
                      <w:rFonts w:ascii="Times New Roman" w:hAnsi="Times New Roman" w:eastAsia="宋体" w:cs="Times New Roman"/>
                      <w:kern w:val="0"/>
                      <w:szCs w:val="21"/>
                      <w:vertAlign w:val="superscript"/>
                    </w:rPr>
                    <w:t>-10</w:t>
                  </w:r>
                  <w:r>
                    <w:rPr>
                      <w:rFonts w:ascii="Times New Roman" w:hAnsi="Times New Roman" w:eastAsia="宋体" w:cs="Times New Roman"/>
                      <w:kern w:val="0"/>
                      <w:szCs w:val="21"/>
                    </w:rPr>
                    <w:t>cm/s。</w:t>
                  </w:r>
                </w:p>
              </w:tc>
              <w:tc>
                <w:tcPr>
                  <w:tcW w:w="1742"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kern w:val="0"/>
                      <w:szCs w:val="21"/>
                    </w:rPr>
                    <w:t>生活垃圾由市政部门统一收集处理；除尘器收集的粉尘、废石料集中收集，外售综合利用。新增废过滤棉、废活性炭暂存于新建的3m</w:t>
                  </w:r>
                  <w:r>
                    <w:rPr>
                      <w:rFonts w:ascii="Times New Roman" w:hAnsi="Times New Roman" w:eastAsia="宋体" w:cs="Times New Roman"/>
                      <w:kern w:val="0"/>
                      <w:szCs w:val="21"/>
                      <w:vertAlign w:val="superscript"/>
                    </w:rPr>
                    <w:t>2</w:t>
                  </w:r>
                  <w:r>
                    <w:rPr>
                      <w:rFonts w:ascii="Times New Roman" w:hAnsi="Times New Roman" w:eastAsia="宋体" w:cs="Times New Roman"/>
                      <w:kern w:val="0"/>
                      <w:szCs w:val="21"/>
                    </w:rPr>
                    <w:t>危废暂存间内，定期交由有资质单位处理；危废暂存间地面基础必须防渗，防渗层为2mm厚的防渗人工材料，渗透系数≤10</w:t>
                  </w:r>
                  <w:r>
                    <w:rPr>
                      <w:rFonts w:ascii="Times New Roman" w:hAnsi="Times New Roman" w:eastAsia="宋体" w:cs="Times New Roman"/>
                      <w:kern w:val="0"/>
                      <w:szCs w:val="21"/>
                      <w:vertAlign w:val="superscript"/>
                    </w:rPr>
                    <w:t>-10</w:t>
                  </w:r>
                  <w:r>
                    <w:rPr>
                      <w:rFonts w:ascii="Times New Roman" w:hAnsi="Times New Roman" w:eastAsia="宋体" w:cs="Times New Roman"/>
                      <w:kern w:val="0"/>
                      <w:szCs w:val="21"/>
                    </w:rPr>
                    <w:t>cm/s。</w:t>
                  </w:r>
                </w:p>
              </w:tc>
              <w:tc>
                <w:tcPr>
                  <w:tcW w:w="894"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bCs/>
                      <w:szCs w:val="21"/>
                    </w:rPr>
                    <w:t>新增光催化氧化设施产生的废过滤棉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690" w:hRule="atLeast"/>
              </w:trPr>
              <w:tc>
                <w:tcPr>
                  <w:tcW w:w="294" w:type="pct"/>
                  <w:vMerge w:val="restar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储运工程</w:t>
                  </w:r>
                </w:p>
                <w:p>
                  <w:pPr>
                    <w:widowControl/>
                    <w:suppressLineNumbers/>
                    <w:spacing w:line="320" w:lineRule="exact"/>
                    <w:jc w:val="center"/>
                    <w:rPr>
                      <w:rFonts w:ascii="Times New Roman" w:hAnsi="Times New Roman" w:eastAsia="宋体" w:cs="Times New Roman"/>
                      <w:szCs w:val="21"/>
                    </w:rPr>
                  </w:pPr>
                </w:p>
              </w:tc>
              <w:tc>
                <w:tcPr>
                  <w:tcW w:w="437"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储罐区</w:t>
                  </w:r>
                </w:p>
              </w:tc>
              <w:tc>
                <w:tcPr>
                  <w:tcW w:w="1633"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bCs/>
                      <w:szCs w:val="21"/>
                    </w:rPr>
                    <w:t>位于生产区域北侧，</w:t>
                  </w:r>
                  <w:r>
                    <w:rPr>
                      <w:rFonts w:ascii="Times New Roman" w:hAnsi="Times New Roman" w:eastAsia="宋体" w:cs="Times New Roman"/>
                      <w:szCs w:val="21"/>
                    </w:rPr>
                    <w:t>安装5台50T沥青罐，2台50T 重油储罐，1台500 T沥青储罐，用于存储原料</w:t>
                  </w:r>
                </w:p>
              </w:tc>
              <w:tc>
                <w:tcPr>
                  <w:tcW w:w="1742"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bCs/>
                      <w:szCs w:val="21"/>
                    </w:rPr>
                    <w:t>位于生产区域北侧，</w:t>
                  </w:r>
                  <w:r>
                    <w:rPr>
                      <w:rFonts w:ascii="Times New Roman" w:hAnsi="Times New Roman" w:eastAsia="宋体" w:cs="Times New Roman"/>
                      <w:szCs w:val="21"/>
                    </w:rPr>
                    <w:t>安装4台50T 沥青罐，2台50T 重油储罐，1台500 T沥青储罐，用于存储原料</w:t>
                  </w:r>
                </w:p>
              </w:tc>
              <w:tc>
                <w:tcPr>
                  <w:tcW w:w="894"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50" w:hRule="atLeast"/>
              </w:trPr>
              <w:tc>
                <w:tcPr>
                  <w:tcW w:w="294" w:type="pct"/>
                  <w:vMerge w:val="continue"/>
                  <w:vAlign w:val="center"/>
                </w:tcPr>
                <w:p>
                  <w:pPr>
                    <w:widowControl/>
                    <w:suppressLineNumbers/>
                    <w:spacing w:line="320" w:lineRule="exact"/>
                    <w:jc w:val="center"/>
                    <w:rPr>
                      <w:rFonts w:ascii="Times New Roman" w:hAnsi="Times New Roman" w:eastAsia="宋体" w:cs="Times New Roman"/>
                      <w:color w:val="FF0000"/>
                      <w:szCs w:val="21"/>
                    </w:rPr>
                  </w:pPr>
                </w:p>
              </w:tc>
              <w:tc>
                <w:tcPr>
                  <w:tcW w:w="437"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料库</w:t>
                  </w:r>
                </w:p>
              </w:tc>
              <w:tc>
                <w:tcPr>
                  <w:tcW w:w="1633"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bCs/>
                      <w:szCs w:val="21"/>
                    </w:rPr>
                    <w:t>本项目共新建四个料库分别设置在厂区内，均为一层钢结构建筑，高度不少于8m。1号仓库位于厂区南侧，建筑面积为1140.91m</w:t>
                  </w:r>
                  <w:r>
                    <w:rPr>
                      <w:rFonts w:ascii="Times New Roman" w:hAnsi="Times New Roman" w:eastAsia="宋体" w:cs="Times New Roman"/>
                      <w:bCs/>
                      <w:szCs w:val="21"/>
                      <w:vertAlign w:val="superscript"/>
                    </w:rPr>
                    <w:t>2</w:t>
                  </w:r>
                  <w:r>
                    <w:rPr>
                      <w:rFonts w:ascii="Times New Roman" w:hAnsi="Times New Roman" w:eastAsia="宋体" w:cs="Times New Roman"/>
                      <w:bCs/>
                      <w:szCs w:val="21"/>
                    </w:rPr>
                    <w:t>，2号仓库位于厂区东侧，建筑面积为6500 m</w:t>
                  </w:r>
                  <w:r>
                    <w:rPr>
                      <w:rFonts w:ascii="Times New Roman" w:hAnsi="Times New Roman" w:eastAsia="宋体" w:cs="Times New Roman"/>
                      <w:bCs/>
                      <w:szCs w:val="21"/>
                      <w:vertAlign w:val="superscript"/>
                    </w:rPr>
                    <w:t>2</w:t>
                  </w:r>
                  <w:r>
                    <w:rPr>
                      <w:rFonts w:ascii="Times New Roman" w:hAnsi="Times New Roman" w:eastAsia="宋体" w:cs="Times New Roman"/>
                      <w:bCs/>
                      <w:szCs w:val="21"/>
                    </w:rPr>
                    <w:t>，3号仓库位于厂区北侧，建筑面积为5183.34m</w:t>
                  </w:r>
                  <w:r>
                    <w:rPr>
                      <w:rFonts w:ascii="Times New Roman" w:hAnsi="Times New Roman" w:eastAsia="宋体" w:cs="Times New Roman"/>
                      <w:bCs/>
                      <w:szCs w:val="21"/>
                      <w:vertAlign w:val="superscript"/>
                    </w:rPr>
                    <w:t>2</w:t>
                  </w:r>
                  <w:r>
                    <w:rPr>
                      <w:rFonts w:ascii="Times New Roman" w:hAnsi="Times New Roman" w:eastAsia="宋体" w:cs="Times New Roman"/>
                      <w:bCs/>
                      <w:szCs w:val="21"/>
                    </w:rPr>
                    <w:t>，4号仓库位于厂区北侧，建筑面积为1747.14 m</w:t>
                  </w:r>
                  <w:r>
                    <w:rPr>
                      <w:rFonts w:ascii="Times New Roman" w:hAnsi="Times New Roman" w:eastAsia="宋体" w:cs="Times New Roman"/>
                      <w:bCs/>
                      <w:szCs w:val="21"/>
                      <w:vertAlign w:val="superscript"/>
                    </w:rPr>
                    <w:t>2</w:t>
                  </w:r>
                  <w:r>
                    <w:rPr>
                      <w:rFonts w:ascii="Times New Roman" w:hAnsi="Times New Roman" w:eastAsia="宋体" w:cs="Times New Roman"/>
                      <w:bCs/>
                      <w:szCs w:val="21"/>
                    </w:rPr>
                    <w:t>，</w:t>
                  </w:r>
                  <w:r>
                    <w:rPr>
                      <w:rFonts w:ascii="Times New Roman" w:hAnsi="Times New Roman" w:eastAsia="宋体" w:cs="Times New Roman"/>
                      <w:bCs/>
                      <w:kern w:val="0"/>
                      <w:szCs w:val="21"/>
                    </w:rPr>
                    <w:t>四个仓库暂存碎石、</w:t>
                  </w:r>
                  <w:r>
                    <w:rPr>
                      <w:rFonts w:ascii="Times New Roman" w:hAnsi="Times New Roman" w:eastAsia="宋体" w:cs="Times New Roman"/>
                      <w:kern w:val="0"/>
                      <w:szCs w:val="21"/>
                    </w:rPr>
                    <w:t>石屑、矿粉、机制砂等原料。</w:t>
                  </w:r>
                </w:p>
              </w:tc>
              <w:tc>
                <w:tcPr>
                  <w:tcW w:w="1742"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bCs/>
                      <w:szCs w:val="21"/>
                    </w:rPr>
                    <w:t>本项目已新建四个料库分别设置在厂区内，均为一层钢结构建筑，高度不少于8m。1号仓库位于厂区南侧，建筑面积为1140.91m</w:t>
                  </w:r>
                  <w:r>
                    <w:rPr>
                      <w:rFonts w:ascii="Times New Roman" w:hAnsi="Times New Roman" w:eastAsia="宋体" w:cs="Times New Roman"/>
                      <w:bCs/>
                      <w:szCs w:val="21"/>
                      <w:vertAlign w:val="superscript"/>
                    </w:rPr>
                    <w:t>2</w:t>
                  </w:r>
                  <w:r>
                    <w:rPr>
                      <w:rFonts w:ascii="Times New Roman" w:hAnsi="Times New Roman" w:eastAsia="宋体" w:cs="Times New Roman"/>
                      <w:bCs/>
                      <w:szCs w:val="21"/>
                    </w:rPr>
                    <w:t>，2号仓库位于厂区东侧，建筑面积为6500 m</w:t>
                  </w:r>
                  <w:r>
                    <w:rPr>
                      <w:rFonts w:ascii="Times New Roman" w:hAnsi="Times New Roman" w:eastAsia="宋体" w:cs="Times New Roman"/>
                      <w:bCs/>
                      <w:szCs w:val="21"/>
                      <w:vertAlign w:val="superscript"/>
                    </w:rPr>
                    <w:t>2</w:t>
                  </w:r>
                  <w:r>
                    <w:rPr>
                      <w:rFonts w:ascii="Times New Roman" w:hAnsi="Times New Roman" w:eastAsia="宋体" w:cs="Times New Roman"/>
                      <w:bCs/>
                      <w:szCs w:val="21"/>
                    </w:rPr>
                    <w:t>，3号仓库位于厂区北侧，建筑面积为5183.34m</w:t>
                  </w:r>
                  <w:r>
                    <w:rPr>
                      <w:rFonts w:ascii="Times New Roman" w:hAnsi="Times New Roman" w:eastAsia="宋体" w:cs="Times New Roman"/>
                      <w:bCs/>
                      <w:szCs w:val="21"/>
                      <w:vertAlign w:val="superscript"/>
                    </w:rPr>
                    <w:t>2</w:t>
                  </w:r>
                  <w:r>
                    <w:rPr>
                      <w:rFonts w:ascii="Times New Roman" w:hAnsi="Times New Roman" w:eastAsia="宋体" w:cs="Times New Roman"/>
                      <w:bCs/>
                      <w:szCs w:val="21"/>
                    </w:rPr>
                    <w:t>，4号仓库位于厂区北侧，建筑面积为1747.14 m</w:t>
                  </w:r>
                  <w:r>
                    <w:rPr>
                      <w:rFonts w:ascii="Times New Roman" w:hAnsi="Times New Roman" w:eastAsia="宋体" w:cs="Times New Roman"/>
                      <w:bCs/>
                      <w:szCs w:val="21"/>
                      <w:vertAlign w:val="superscript"/>
                    </w:rPr>
                    <w:t>2</w:t>
                  </w:r>
                  <w:r>
                    <w:rPr>
                      <w:rFonts w:ascii="Times New Roman" w:hAnsi="Times New Roman" w:eastAsia="宋体" w:cs="Times New Roman"/>
                      <w:bCs/>
                      <w:szCs w:val="21"/>
                    </w:rPr>
                    <w:t>，</w:t>
                  </w:r>
                  <w:r>
                    <w:rPr>
                      <w:rFonts w:ascii="Times New Roman" w:hAnsi="Times New Roman" w:eastAsia="宋体" w:cs="Times New Roman"/>
                      <w:bCs/>
                      <w:kern w:val="0"/>
                      <w:szCs w:val="21"/>
                    </w:rPr>
                    <w:t>四个仓库暂存碎石、</w:t>
                  </w:r>
                  <w:r>
                    <w:rPr>
                      <w:rFonts w:ascii="Times New Roman" w:hAnsi="Times New Roman" w:eastAsia="宋体" w:cs="Times New Roman"/>
                      <w:kern w:val="0"/>
                      <w:szCs w:val="21"/>
                    </w:rPr>
                    <w:t>石屑、矿粉、机制砂等原料。</w:t>
                  </w:r>
                </w:p>
              </w:tc>
              <w:tc>
                <w:tcPr>
                  <w:tcW w:w="894"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37" w:hRule="atLeast"/>
              </w:trPr>
              <w:tc>
                <w:tcPr>
                  <w:tcW w:w="294"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办公及生活设施</w:t>
                  </w:r>
                </w:p>
              </w:tc>
              <w:tc>
                <w:tcPr>
                  <w:tcW w:w="437"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bCs/>
                      <w:kern w:val="0"/>
                      <w:szCs w:val="21"/>
                    </w:rPr>
                    <w:t>综合楼</w:t>
                  </w:r>
                </w:p>
              </w:tc>
              <w:tc>
                <w:tcPr>
                  <w:tcW w:w="1633"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在厂区的南侧新建</w:t>
                  </w:r>
                  <w:r>
                    <w:rPr>
                      <w:rFonts w:ascii="Times New Roman" w:hAnsi="Times New Roman" w:eastAsia="宋体" w:cs="Times New Roman"/>
                      <w:bCs/>
                      <w:spacing w:val="6"/>
                      <w:szCs w:val="21"/>
                    </w:rPr>
                    <w:t>1栋</w:t>
                  </w:r>
                  <w:r>
                    <w:rPr>
                      <w:rFonts w:ascii="Times New Roman" w:hAnsi="Times New Roman" w:eastAsia="宋体" w:cs="Times New Roman"/>
                      <w:bCs/>
                      <w:kern w:val="0"/>
                      <w:szCs w:val="21"/>
                    </w:rPr>
                    <w:t>综合楼</w:t>
                  </w:r>
                  <w:r>
                    <w:rPr>
                      <w:rFonts w:ascii="Times New Roman" w:hAnsi="Times New Roman" w:eastAsia="宋体" w:cs="Times New Roman"/>
                      <w:bCs/>
                      <w:spacing w:val="6"/>
                      <w:szCs w:val="21"/>
                    </w:rPr>
                    <w:t>，三层建筑，三层建筑面积共2980.26m</w:t>
                  </w:r>
                  <w:r>
                    <w:rPr>
                      <w:rFonts w:ascii="Times New Roman" w:hAnsi="Times New Roman" w:eastAsia="宋体" w:cs="Times New Roman"/>
                      <w:bCs/>
                      <w:spacing w:val="6"/>
                      <w:szCs w:val="21"/>
                      <w:vertAlign w:val="superscript"/>
                    </w:rPr>
                    <w:t>2</w:t>
                  </w:r>
                  <w:r>
                    <w:rPr>
                      <w:rFonts w:ascii="Times New Roman" w:hAnsi="Times New Roman" w:eastAsia="宋体" w:cs="Times New Roman"/>
                      <w:bCs/>
                      <w:spacing w:val="6"/>
                      <w:szCs w:val="21"/>
                    </w:rPr>
                    <w:t>，用于平</w:t>
                  </w:r>
                  <w:r>
                    <w:rPr>
                      <w:rFonts w:ascii="Times New Roman" w:hAnsi="Times New Roman" w:eastAsia="宋体" w:cs="Times New Roman"/>
                      <w:szCs w:val="21"/>
                    </w:rPr>
                    <w:t>时办公及临时休息，综合楼内一层设置食堂，食堂内设有1个灶头，设置油烟净化器和油水分离器。</w:t>
                  </w:r>
                </w:p>
              </w:tc>
              <w:tc>
                <w:tcPr>
                  <w:tcW w:w="1742"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在厂区的南侧</w:t>
                  </w:r>
                  <w:r>
                    <w:rPr>
                      <w:rFonts w:ascii="Times New Roman" w:hAnsi="Times New Roman" w:eastAsia="宋体" w:cs="Times New Roman"/>
                      <w:bCs/>
                      <w:szCs w:val="21"/>
                    </w:rPr>
                    <w:t>已新建</w:t>
                  </w:r>
                  <w:r>
                    <w:rPr>
                      <w:rFonts w:ascii="Times New Roman" w:hAnsi="Times New Roman" w:eastAsia="宋体" w:cs="Times New Roman"/>
                      <w:bCs/>
                      <w:spacing w:val="6"/>
                      <w:szCs w:val="21"/>
                    </w:rPr>
                    <w:t>1栋</w:t>
                  </w:r>
                  <w:r>
                    <w:rPr>
                      <w:rFonts w:ascii="Times New Roman" w:hAnsi="Times New Roman" w:eastAsia="宋体" w:cs="Times New Roman"/>
                      <w:bCs/>
                      <w:kern w:val="0"/>
                      <w:szCs w:val="21"/>
                    </w:rPr>
                    <w:t>综合楼</w:t>
                  </w:r>
                  <w:r>
                    <w:rPr>
                      <w:rFonts w:ascii="Times New Roman" w:hAnsi="Times New Roman" w:eastAsia="宋体" w:cs="Times New Roman"/>
                      <w:bCs/>
                      <w:spacing w:val="6"/>
                      <w:szCs w:val="21"/>
                    </w:rPr>
                    <w:t>，三层建筑，三层建筑面积共2980.26m</w:t>
                  </w:r>
                  <w:r>
                    <w:rPr>
                      <w:rFonts w:ascii="Times New Roman" w:hAnsi="Times New Roman" w:eastAsia="宋体" w:cs="Times New Roman"/>
                      <w:bCs/>
                      <w:spacing w:val="6"/>
                      <w:szCs w:val="21"/>
                      <w:vertAlign w:val="superscript"/>
                    </w:rPr>
                    <w:t>2</w:t>
                  </w:r>
                  <w:r>
                    <w:rPr>
                      <w:rFonts w:ascii="Times New Roman" w:hAnsi="Times New Roman" w:eastAsia="宋体" w:cs="Times New Roman"/>
                      <w:bCs/>
                      <w:spacing w:val="6"/>
                      <w:szCs w:val="21"/>
                    </w:rPr>
                    <w:t>，用于平</w:t>
                  </w:r>
                  <w:r>
                    <w:rPr>
                      <w:rFonts w:ascii="Times New Roman" w:hAnsi="Times New Roman" w:eastAsia="宋体" w:cs="Times New Roman"/>
                      <w:szCs w:val="21"/>
                    </w:rPr>
                    <w:t>时办公及临时休息，综合楼内一层</w:t>
                  </w:r>
                  <w:r>
                    <w:rPr>
                      <w:rFonts w:ascii="Times New Roman" w:hAnsi="Times New Roman" w:eastAsia="宋体" w:cs="Times New Roman"/>
                      <w:bCs/>
                      <w:szCs w:val="21"/>
                    </w:rPr>
                    <w:t>已新建</w:t>
                  </w:r>
                  <w:r>
                    <w:rPr>
                      <w:rFonts w:ascii="Times New Roman" w:hAnsi="Times New Roman" w:eastAsia="宋体" w:cs="Times New Roman"/>
                      <w:szCs w:val="21"/>
                    </w:rPr>
                    <w:t>食堂，食堂内设有1个灶头，设置油烟净化器和油水分离器。</w:t>
                  </w:r>
                </w:p>
              </w:tc>
              <w:tc>
                <w:tcPr>
                  <w:tcW w:w="894" w:type="pct"/>
                  <w:vAlign w:val="center"/>
                </w:tcPr>
                <w:p>
                  <w:pPr>
                    <w:widowControl/>
                    <w:suppressLineNumbers/>
                    <w:spacing w:line="320" w:lineRule="exact"/>
                    <w:jc w:val="center"/>
                    <w:rPr>
                      <w:rFonts w:ascii="Times New Roman" w:hAnsi="Times New Roman" w:eastAsia="宋体" w:cs="Times New Roman"/>
                      <w:szCs w:val="21"/>
                    </w:rPr>
                  </w:pPr>
                  <w:r>
                    <w:rPr>
                      <w:rFonts w:ascii="Times New Roman" w:hAnsi="Times New Roman" w:eastAsia="宋体" w:cs="Times New Roman"/>
                      <w:szCs w:val="21"/>
                    </w:rPr>
                    <w:t>与环评一致</w:t>
                  </w:r>
                </w:p>
              </w:tc>
            </w:tr>
          </w:tbl>
          <w:p>
            <w:pPr>
              <w:adjustRightInd w:val="0"/>
              <w:snapToGrid w:val="0"/>
              <w:spacing w:line="500" w:lineRule="exact"/>
              <w:ind w:firstLine="420" w:firstLineChars="200"/>
              <w:rPr>
                <w:rFonts w:ascii="Times New Roman" w:hAnsi="Times New Roman" w:cs="Times New Roman"/>
              </w:rPr>
            </w:pPr>
            <w:r>
              <w:rPr>
                <w:rFonts w:ascii="Times New Roman" w:hAnsi="Times New Roman" w:cs="Times New Roman"/>
              </w:rPr>
              <w:t>6、工程变更情况</w:t>
            </w:r>
          </w:p>
          <w:p>
            <w:pPr>
              <w:spacing w:line="500" w:lineRule="exact"/>
              <w:ind w:firstLine="420" w:firstLineChars="200"/>
              <w:rPr>
                <w:rFonts w:ascii="Times New Roman" w:hAnsi="Times New Roman" w:cs="Times New Roman"/>
                <w:kern w:val="0"/>
                <w:szCs w:val="21"/>
              </w:rPr>
            </w:pPr>
            <w:r>
              <w:rPr>
                <w:rFonts w:ascii="Times New Roman" w:hAnsi="Times New Roman" w:eastAsia="宋体" w:cs="Times New Roman"/>
                <w:kern w:val="0"/>
                <w:szCs w:val="21"/>
              </w:rPr>
              <w:t>根据实际情况，建设过程中比环评中少一个沥青储罐，生产所需的沥青量不大，可满足生产规模和需求。</w:t>
            </w:r>
            <w:r>
              <w:rPr>
                <w:rFonts w:ascii="Times New Roman" w:hAnsi="Times New Roman" w:cs="Times New Roman"/>
              </w:rPr>
              <w:t>本项目无其他工程变更情况。</w:t>
            </w:r>
          </w:p>
          <w:p>
            <w:pPr>
              <w:adjustRightInd w:val="0"/>
              <w:snapToGrid w:val="0"/>
              <w:spacing w:line="500" w:lineRule="exact"/>
              <w:ind w:firstLine="420" w:firstLineChars="200"/>
              <w:rPr>
                <w:rFonts w:ascii="Times New Roman" w:hAnsi="Times New Roman" w:cs="Times New Roman"/>
              </w:rPr>
            </w:pPr>
            <w:r>
              <w:rPr>
                <w:rFonts w:ascii="Times New Roman" w:hAnsi="Times New Roman" w:eastAsia="宋体" w:cs="Times New Roman"/>
                <w:szCs w:val="21"/>
              </w:rPr>
              <w:t>根据关于印发《污染影响类建设项目重大变动清单（试行）》的通知（环办环评函〔2020〕688号）中要求，本项目不属于污染影响类重大变动的建设项目</w:t>
            </w:r>
            <w:r>
              <w:rPr>
                <w:rFonts w:ascii="Times New Roman" w:hAnsi="Times New Roman" w:cs="Times New Roman"/>
                <w:sz w:val="24"/>
              </w:rPr>
              <w:t>。</w:t>
            </w:r>
          </w:p>
          <w:p>
            <w:pPr>
              <w:spacing w:line="500" w:lineRule="exact"/>
              <w:ind w:firstLine="420" w:firstLineChars="200"/>
              <w:rPr>
                <w:rFonts w:ascii="Times New Roman" w:hAnsi="Times New Roman" w:cs="Times New Roman"/>
              </w:rPr>
            </w:pPr>
            <w:r>
              <w:rPr>
                <w:rFonts w:ascii="Times New Roman" w:hAnsi="Times New Roman" w:cs="Times New Roman"/>
              </w:rPr>
              <w:t>7、设备组成及原辅材料清单</w:t>
            </w:r>
          </w:p>
          <w:p>
            <w:pPr>
              <w:spacing w:line="500" w:lineRule="exact"/>
              <w:ind w:firstLine="420" w:firstLineChars="200"/>
              <w:rPr>
                <w:rFonts w:ascii="Times New Roman" w:hAnsi="Times New Roman" w:cs="Times New Roman"/>
              </w:rPr>
            </w:pPr>
            <w:r>
              <w:rPr>
                <w:rFonts w:ascii="Times New Roman" w:hAnsi="Times New Roman" w:cs="Times New Roman"/>
              </w:rPr>
              <w:t>本项目主要设备见表2-2。</w:t>
            </w:r>
          </w:p>
          <w:p>
            <w:pPr>
              <w:spacing w:line="500" w:lineRule="exact"/>
              <w:ind w:firstLine="525" w:firstLineChars="250"/>
              <w:rPr>
                <w:rFonts w:ascii="Times New Roman" w:hAnsi="Times New Roman" w:eastAsia="黑体" w:cs="Times New Roman"/>
                <w:bCs/>
              </w:rPr>
            </w:pPr>
            <w:r>
              <w:rPr>
                <w:rFonts w:ascii="Times New Roman" w:hAnsi="Times New Roman" w:eastAsia="黑体" w:cs="Times New Roman"/>
                <w:bCs/>
              </w:rPr>
              <w:t>表2-2                    主要设备及辅助设备一览表</w:t>
            </w:r>
          </w:p>
          <w:tbl>
            <w:tblPr>
              <w:tblStyle w:val="1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69"/>
              <w:gridCol w:w="2673"/>
              <w:gridCol w:w="2471"/>
              <w:gridCol w:w="1417"/>
              <w:gridCol w:w="184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369" w:type="pct"/>
                  <w:tcBorders>
                    <w:tl2br w:val="nil"/>
                    <w:tr2bl w:val="nil"/>
                  </w:tcBorders>
                  <w:vAlign w:val="center"/>
                </w:tcPr>
                <w:p>
                  <w:pPr>
                    <w:spacing w:line="320" w:lineRule="exact"/>
                    <w:jc w:val="center"/>
                    <w:rPr>
                      <w:rFonts w:ascii="Times New Roman" w:hAnsi="Times New Roman" w:eastAsia="黑体" w:cs="Times New Roman"/>
                      <w:bCs/>
                      <w:kern w:val="0"/>
                      <w:szCs w:val="21"/>
                    </w:rPr>
                  </w:pPr>
                  <w:r>
                    <w:rPr>
                      <w:rFonts w:ascii="Times New Roman" w:hAnsi="Times New Roman" w:eastAsia="黑体" w:cs="Times New Roman"/>
                      <w:bCs/>
                      <w:kern w:val="0"/>
                      <w:szCs w:val="21"/>
                    </w:rPr>
                    <w:t>序号</w:t>
                  </w:r>
                </w:p>
              </w:tc>
              <w:tc>
                <w:tcPr>
                  <w:tcW w:w="1473" w:type="pct"/>
                  <w:tcBorders>
                    <w:tl2br w:val="nil"/>
                    <w:tr2bl w:val="nil"/>
                  </w:tcBorders>
                  <w:vAlign w:val="center"/>
                </w:tcPr>
                <w:p>
                  <w:pPr>
                    <w:spacing w:line="320" w:lineRule="exact"/>
                    <w:jc w:val="center"/>
                    <w:rPr>
                      <w:rFonts w:ascii="Times New Roman" w:hAnsi="Times New Roman" w:eastAsia="黑体" w:cs="Times New Roman"/>
                      <w:bCs/>
                      <w:kern w:val="0"/>
                      <w:szCs w:val="21"/>
                    </w:rPr>
                  </w:pPr>
                  <w:r>
                    <w:rPr>
                      <w:rFonts w:ascii="Times New Roman" w:hAnsi="Times New Roman" w:eastAsia="黑体" w:cs="Times New Roman"/>
                      <w:bCs/>
                      <w:kern w:val="0"/>
                      <w:szCs w:val="21"/>
                    </w:rPr>
                    <w:t>设备名称</w:t>
                  </w:r>
                </w:p>
              </w:tc>
              <w:tc>
                <w:tcPr>
                  <w:tcW w:w="1362" w:type="pct"/>
                  <w:tcBorders>
                    <w:tl2br w:val="nil"/>
                    <w:tr2bl w:val="nil"/>
                  </w:tcBorders>
                  <w:vAlign w:val="center"/>
                </w:tcPr>
                <w:p>
                  <w:pPr>
                    <w:spacing w:line="320" w:lineRule="exact"/>
                    <w:jc w:val="center"/>
                    <w:rPr>
                      <w:rFonts w:ascii="Times New Roman" w:hAnsi="Times New Roman" w:eastAsia="黑体" w:cs="Times New Roman"/>
                      <w:bCs/>
                      <w:kern w:val="0"/>
                      <w:szCs w:val="21"/>
                    </w:rPr>
                  </w:pPr>
                  <w:r>
                    <w:rPr>
                      <w:rFonts w:ascii="Times New Roman" w:hAnsi="Times New Roman" w:eastAsia="黑体" w:cs="Times New Roman"/>
                      <w:bCs/>
                      <w:kern w:val="0"/>
                      <w:szCs w:val="21"/>
                    </w:rPr>
                    <w:t>规格型号</w:t>
                  </w:r>
                </w:p>
              </w:tc>
              <w:tc>
                <w:tcPr>
                  <w:tcW w:w="781" w:type="pct"/>
                  <w:tcBorders>
                    <w:tl2br w:val="nil"/>
                    <w:tr2bl w:val="nil"/>
                  </w:tcBorders>
                  <w:vAlign w:val="center"/>
                </w:tcPr>
                <w:p>
                  <w:pPr>
                    <w:spacing w:line="320" w:lineRule="exact"/>
                    <w:jc w:val="center"/>
                    <w:rPr>
                      <w:rFonts w:ascii="Times New Roman" w:hAnsi="Times New Roman" w:eastAsia="黑体" w:cs="Times New Roman"/>
                      <w:bCs/>
                      <w:kern w:val="0"/>
                      <w:szCs w:val="21"/>
                    </w:rPr>
                  </w:pPr>
                  <w:r>
                    <w:rPr>
                      <w:rFonts w:ascii="Times New Roman" w:hAnsi="Times New Roman" w:eastAsia="黑体" w:cs="Times New Roman"/>
                      <w:bCs/>
                      <w:kern w:val="0"/>
                      <w:szCs w:val="21"/>
                    </w:rPr>
                    <w:t>数量</w:t>
                  </w:r>
                </w:p>
              </w:tc>
              <w:tc>
                <w:tcPr>
                  <w:tcW w:w="1015" w:type="pct"/>
                  <w:tcBorders>
                    <w:tl2br w:val="nil"/>
                    <w:tr2bl w:val="nil"/>
                  </w:tcBorders>
                  <w:vAlign w:val="center"/>
                </w:tcPr>
                <w:p>
                  <w:pPr>
                    <w:spacing w:line="320" w:lineRule="exact"/>
                    <w:jc w:val="center"/>
                    <w:rPr>
                      <w:rFonts w:ascii="Times New Roman" w:hAnsi="Times New Roman" w:eastAsia="黑体" w:cs="Times New Roman"/>
                      <w:bCs/>
                      <w:kern w:val="0"/>
                      <w:szCs w:val="21"/>
                    </w:rPr>
                  </w:pPr>
                  <w:r>
                    <w:rPr>
                      <w:rFonts w:ascii="Times New Roman" w:hAnsi="Times New Roman" w:eastAsia="黑体" w:cs="Times New Roman"/>
                      <w:bCs/>
                      <w:kern w:val="0"/>
                      <w:szCs w:val="21"/>
                    </w:rPr>
                    <w:t>单位</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1</w:t>
                  </w:r>
                </w:p>
              </w:tc>
              <w:tc>
                <w:tcPr>
                  <w:tcW w:w="1473" w:type="pct"/>
                  <w:tcBorders>
                    <w:tl2br w:val="nil"/>
                    <w:tr2bl w:val="nil"/>
                  </w:tcBorders>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沥青拌合站</w:t>
                  </w:r>
                </w:p>
              </w:tc>
              <w:tc>
                <w:tcPr>
                  <w:tcW w:w="1362" w:type="pct"/>
                  <w:tcBorders>
                    <w:tl2br w:val="nil"/>
                    <w:tr2bl w:val="nil"/>
                  </w:tcBorders>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DG4000</w:t>
                  </w:r>
                </w:p>
              </w:tc>
              <w:tc>
                <w:tcPr>
                  <w:tcW w:w="781" w:type="pct"/>
                  <w:tcBorders>
                    <w:tl2br w:val="nil"/>
                    <w:tr2bl w:val="nil"/>
                  </w:tcBorders>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1</w:t>
                  </w:r>
                </w:p>
              </w:tc>
              <w:tc>
                <w:tcPr>
                  <w:tcW w:w="1015" w:type="pct"/>
                  <w:tcBorders>
                    <w:tl2br w:val="nil"/>
                    <w:tr2bl w:val="nil"/>
                  </w:tcBorders>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2</w:t>
                  </w:r>
                </w:p>
              </w:tc>
              <w:tc>
                <w:tcPr>
                  <w:tcW w:w="1473" w:type="pct"/>
                  <w:tcBorders>
                    <w:tl2br w:val="nil"/>
                    <w:tr2bl w:val="nil"/>
                  </w:tcBorders>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沥青摊铺机</w:t>
                  </w:r>
                </w:p>
              </w:tc>
              <w:tc>
                <w:tcPr>
                  <w:tcW w:w="1362" w:type="pct"/>
                  <w:tcBorders>
                    <w:tl2br w:val="nil"/>
                    <w:tr2bl w:val="nil"/>
                  </w:tcBorders>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2100-2</w:t>
                  </w:r>
                </w:p>
              </w:tc>
              <w:tc>
                <w:tcPr>
                  <w:tcW w:w="781" w:type="pct"/>
                  <w:tcBorders>
                    <w:tl2br w:val="nil"/>
                    <w:tr2bl w:val="nil"/>
                  </w:tcBorders>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2</w:t>
                  </w:r>
                </w:p>
              </w:tc>
              <w:tc>
                <w:tcPr>
                  <w:tcW w:w="1015" w:type="pct"/>
                  <w:tcBorders>
                    <w:tl2br w:val="nil"/>
                    <w:tr2bl w:val="nil"/>
                  </w:tcBorders>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3</w:t>
                  </w:r>
                </w:p>
              </w:tc>
              <w:tc>
                <w:tcPr>
                  <w:tcW w:w="1473" w:type="pct"/>
                  <w:tcBorders>
                    <w:tl2br w:val="nil"/>
                    <w:tr2bl w:val="nil"/>
                  </w:tcBorders>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双钢轮双振动压路机</w:t>
                  </w:r>
                </w:p>
              </w:tc>
              <w:tc>
                <w:tcPr>
                  <w:tcW w:w="1362" w:type="pct"/>
                  <w:tcBorders>
                    <w:tl2br w:val="nil"/>
                    <w:tr2bl w:val="nil"/>
                  </w:tcBorders>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Str130-5h</w:t>
                  </w:r>
                </w:p>
              </w:tc>
              <w:tc>
                <w:tcPr>
                  <w:tcW w:w="781" w:type="pct"/>
                  <w:tcBorders>
                    <w:tl2br w:val="nil"/>
                    <w:tr2bl w:val="nil"/>
                  </w:tcBorders>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6</w:t>
                  </w:r>
                </w:p>
              </w:tc>
              <w:tc>
                <w:tcPr>
                  <w:tcW w:w="1015" w:type="pct"/>
                  <w:tcBorders>
                    <w:tl2br w:val="nil"/>
                    <w:tr2bl w:val="nil"/>
                  </w:tcBorders>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4</w:t>
                  </w:r>
                </w:p>
              </w:tc>
              <w:tc>
                <w:tcPr>
                  <w:tcW w:w="1473" w:type="pct"/>
                  <w:tcBorders>
                    <w:tl2br w:val="nil"/>
                    <w:tr2bl w:val="nil"/>
                  </w:tcBorders>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胶轮压路机</w:t>
                  </w:r>
                </w:p>
              </w:tc>
              <w:tc>
                <w:tcPr>
                  <w:tcW w:w="1362" w:type="pct"/>
                  <w:tcBorders>
                    <w:tl2br w:val="nil"/>
                    <w:tr2bl w:val="nil"/>
                  </w:tcBorders>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Spr300-5</w:t>
                  </w:r>
                </w:p>
              </w:tc>
              <w:tc>
                <w:tcPr>
                  <w:tcW w:w="781" w:type="pct"/>
                  <w:tcBorders>
                    <w:tl2br w:val="nil"/>
                    <w:tr2bl w:val="nil"/>
                  </w:tcBorders>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6</w:t>
                  </w:r>
                </w:p>
              </w:tc>
              <w:tc>
                <w:tcPr>
                  <w:tcW w:w="1015" w:type="pct"/>
                  <w:tcBorders>
                    <w:tl2br w:val="nil"/>
                    <w:tr2bl w:val="nil"/>
                  </w:tcBorders>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5</w:t>
                  </w:r>
                </w:p>
              </w:tc>
              <w:tc>
                <w:tcPr>
                  <w:tcW w:w="1473" w:type="pct"/>
                  <w:tcBorders>
                    <w:tl2br w:val="nil"/>
                    <w:tr2bl w:val="nil"/>
                  </w:tcBorders>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同步碎石封层车</w:t>
                  </w:r>
                </w:p>
              </w:tc>
              <w:tc>
                <w:tcPr>
                  <w:tcW w:w="1362" w:type="pct"/>
                  <w:tcBorders>
                    <w:tl2br w:val="nil"/>
                    <w:tr2bl w:val="nil"/>
                  </w:tcBorders>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CLW5180s</w:t>
                  </w:r>
                </w:p>
              </w:tc>
              <w:tc>
                <w:tcPr>
                  <w:tcW w:w="781" w:type="pct"/>
                  <w:tcBorders>
                    <w:tl2br w:val="nil"/>
                    <w:tr2bl w:val="nil"/>
                  </w:tcBorders>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2</w:t>
                  </w:r>
                </w:p>
              </w:tc>
              <w:tc>
                <w:tcPr>
                  <w:tcW w:w="1015" w:type="pct"/>
                  <w:tcBorders>
                    <w:tl2br w:val="nil"/>
                    <w:tr2bl w:val="nil"/>
                  </w:tcBorders>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6</w:t>
                  </w:r>
                </w:p>
              </w:tc>
              <w:tc>
                <w:tcPr>
                  <w:tcW w:w="1473" w:type="pct"/>
                  <w:tcBorders>
                    <w:tl2br w:val="nil"/>
                    <w:tr2bl w:val="nil"/>
                  </w:tcBorders>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装载机</w:t>
                  </w:r>
                </w:p>
              </w:tc>
              <w:tc>
                <w:tcPr>
                  <w:tcW w:w="1362" w:type="pct"/>
                  <w:tcBorders>
                    <w:tl2br w:val="nil"/>
                    <w:tr2bl w:val="nil"/>
                  </w:tcBorders>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Zl50</w:t>
                  </w:r>
                </w:p>
              </w:tc>
              <w:tc>
                <w:tcPr>
                  <w:tcW w:w="781" w:type="pct"/>
                  <w:tcBorders>
                    <w:tl2br w:val="nil"/>
                    <w:tr2bl w:val="nil"/>
                  </w:tcBorders>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6</w:t>
                  </w:r>
                </w:p>
              </w:tc>
              <w:tc>
                <w:tcPr>
                  <w:tcW w:w="1015" w:type="pct"/>
                  <w:tcBorders>
                    <w:tl2br w:val="nil"/>
                    <w:tr2bl w:val="nil"/>
                  </w:tcBorders>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7</w:t>
                  </w:r>
                </w:p>
              </w:tc>
              <w:tc>
                <w:tcPr>
                  <w:tcW w:w="147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50T沥青罐</w:t>
                  </w:r>
                </w:p>
              </w:tc>
              <w:tc>
                <w:tcPr>
                  <w:tcW w:w="136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罐体容量50t</w:t>
                  </w:r>
                </w:p>
              </w:tc>
              <w:tc>
                <w:tcPr>
                  <w:tcW w:w="781" w:type="pct"/>
                  <w:tcBorders>
                    <w:tl2br w:val="nil"/>
                    <w:tr2bl w:val="nil"/>
                  </w:tcBorders>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4</w:t>
                  </w:r>
                </w:p>
              </w:tc>
              <w:tc>
                <w:tcPr>
                  <w:tcW w:w="1015"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kern w:val="0"/>
                      <w:szCs w:val="21"/>
                    </w:rPr>
                    <w:t>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8</w:t>
                  </w:r>
                </w:p>
              </w:tc>
              <w:tc>
                <w:tcPr>
                  <w:tcW w:w="147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50T重油储罐</w:t>
                  </w:r>
                </w:p>
              </w:tc>
              <w:tc>
                <w:tcPr>
                  <w:tcW w:w="136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罐体容量50t</w:t>
                  </w:r>
                </w:p>
              </w:tc>
              <w:tc>
                <w:tcPr>
                  <w:tcW w:w="781" w:type="pct"/>
                  <w:tcBorders>
                    <w:tl2br w:val="nil"/>
                    <w:tr2bl w:val="nil"/>
                  </w:tcBorders>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2</w:t>
                  </w:r>
                </w:p>
              </w:tc>
              <w:tc>
                <w:tcPr>
                  <w:tcW w:w="1015"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kern w:val="0"/>
                      <w:szCs w:val="21"/>
                    </w:rPr>
                    <w:t>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9</w:t>
                  </w:r>
                </w:p>
              </w:tc>
              <w:tc>
                <w:tcPr>
                  <w:tcW w:w="147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500 T沥青储罐</w:t>
                  </w:r>
                </w:p>
              </w:tc>
              <w:tc>
                <w:tcPr>
                  <w:tcW w:w="136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罐体容量500t</w:t>
                  </w:r>
                </w:p>
              </w:tc>
              <w:tc>
                <w:tcPr>
                  <w:tcW w:w="781" w:type="pct"/>
                  <w:tcBorders>
                    <w:tl2br w:val="nil"/>
                    <w:tr2bl w:val="nil"/>
                  </w:tcBorders>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1</w:t>
                  </w:r>
                </w:p>
              </w:tc>
              <w:tc>
                <w:tcPr>
                  <w:tcW w:w="1015" w:type="pct"/>
                  <w:tcBorders>
                    <w:tl2br w:val="nil"/>
                    <w:tr2bl w:val="nil"/>
                  </w:tcBorders>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10</w:t>
                  </w:r>
                </w:p>
              </w:tc>
              <w:tc>
                <w:tcPr>
                  <w:tcW w:w="147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室外防雨配电箱套</w:t>
                  </w:r>
                </w:p>
              </w:tc>
              <w:tc>
                <w:tcPr>
                  <w:tcW w:w="136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kern w:val="0"/>
                      <w:szCs w:val="21"/>
                    </w:rPr>
                    <w:t>/</w:t>
                  </w:r>
                </w:p>
              </w:tc>
              <w:tc>
                <w:tcPr>
                  <w:tcW w:w="78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kern w:val="0"/>
                      <w:szCs w:val="21"/>
                    </w:rPr>
                    <w:t>1</w:t>
                  </w:r>
                </w:p>
              </w:tc>
              <w:tc>
                <w:tcPr>
                  <w:tcW w:w="1015"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kern w:val="0"/>
                      <w:szCs w:val="21"/>
                    </w:rPr>
                    <w:t>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11</w:t>
                  </w:r>
                </w:p>
              </w:tc>
              <w:tc>
                <w:tcPr>
                  <w:tcW w:w="147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连接至搅拌站管路套</w:t>
                  </w:r>
                </w:p>
              </w:tc>
              <w:tc>
                <w:tcPr>
                  <w:tcW w:w="136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kern w:val="0"/>
                      <w:szCs w:val="21"/>
                    </w:rPr>
                    <w:t>/</w:t>
                  </w:r>
                </w:p>
              </w:tc>
              <w:tc>
                <w:tcPr>
                  <w:tcW w:w="78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kern w:val="0"/>
                      <w:szCs w:val="21"/>
                    </w:rPr>
                    <w:t>1</w:t>
                  </w:r>
                </w:p>
              </w:tc>
              <w:tc>
                <w:tcPr>
                  <w:tcW w:w="1015"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kern w:val="0"/>
                      <w:szCs w:val="21"/>
                    </w:rPr>
                    <w:t>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12</w:t>
                  </w:r>
                </w:p>
              </w:tc>
              <w:tc>
                <w:tcPr>
                  <w:tcW w:w="147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干燥筒</w:t>
                  </w:r>
                </w:p>
              </w:tc>
              <w:tc>
                <w:tcPr>
                  <w:tcW w:w="136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kern w:val="0"/>
                      <w:szCs w:val="21"/>
                    </w:rPr>
                    <w:t>/</w:t>
                  </w:r>
                </w:p>
              </w:tc>
              <w:tc>
                <w:tcPr>
                  <w:tcW w:w="78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kern w:val="0"/>
                      <w:szCs w:val="21"/>
                    </w:rPr>
                    <w:t>1</w:t>
                  </w:r>
                </w:p>
              </w:tc>
              <w:tc>
                <w:tcPr>
                  <w:tcW w:w="1015"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kern w:val="0"/>
                      <w:szCs w:val="21"/>
                    </w:rPr>
                    <w:t>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13</w:t>
                  </w:r>
                </w:p>
              </w:tc>
              <w:tc>
                <w:tcPr>
                  <w:tcW w:w="147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沥青烟空气冷凝器台</w:t>
                  </w:r>
                </w:p>
              </w:tc>
              <w:tc>
                <w:tcPr>
                  <w:tcW w:w="136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kern w:val="0"/>
                      <w:szCs w:val="21"/>
                    </w:rPr>
                    <w:t>/</w:t>
                  </w:r>
                </w:p>
              </w:tc>
              <w:tc>
                <w:tcPr>
                  <w:tcW w:w="78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kern w:val="0"/>
                      <w:szCs w:val="21"/>
                    </w:rPr>
                    <w:t>1</w:t>
                  </w:r>
                </w:p>
              </w:tc>
              <w:tc>
                <w:tcPr>
                  <w:tcW w:w="1015"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14</w:t>
                  </w:r>
                </w:p>
              </w:tc>
              <w:tc>
                <w:tcPr>
                  <w:tcW w:w="147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保温过滤器</w:t>
                  </w:r>
                </w:p>
              </w:tc>
              <w:tc>
                <w:tcPr>
                  <w:tcW w:w="136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kern w:val="0"/>
                      <w:szCs w:val="21"/>
                    </w:rPr>
                    <w:t>/</w:t>
                  </w:r>
                </w:p>
              </w:tc>
              <w:tc>
                <w:tcPr>
                  <w:tcW w:w="78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kern w:val="0"/>
                      <w:szCs w:val="21"/>
                    </w:rPr>
                    <w:t>1</w:t>
                  </w:r>
                </w:p>
              </w:tc>
              <w:tc>
                <w:tcPr>
                  <w:tcW w:w="1015"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15</w:t>
                  </w:r>
                </w:p>
              </w:tc>
              <w:tc>
                <w:tcPr>
                  <w:tcW w:w="147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4-20 毫安热电阻</w:t>
                  </w:r>
                </w:p>
              </w:tc>
              <w:tc>
                <w:tcPr>
                  <w:tcW w:w="136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kern w:val="0"/>
                      <w:szCs w:val="21"/>
                    </w:rPr>
                    <w:t>/</w:t>
                  </w:r>
                </w:p>
              </w:tc>
              <w:tc>
                <w:tcPr>
                  <w:tcW w:w="78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kern w:val="0"/>
                      <w:szCs w:val="21"/>
                    </w:rPr>
                    <w:t>1</w:t>
                  </w:r>
                </w:p>
              </w:tc>
              <w:tc>
                <w:tcPr>
                  <w:tcW w:w="1015"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kern w:val="0"/>
                      <w:szCs w:val="21"/>
                    </w:rPr>
                    <w:t>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16</w:t>
                  </w:r>
                </w:p>
              </w:tc>
              <w:tc>
                <w:tcPr>
                  <w:tcW w:w="147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乳化沥青设备</w:t>
                  </w:r>
                </w:p>
              </w:tc>
              <w:tc>
                <w:tcPr>
                  <w:tcW w:w="136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LRS-6T/h</w:t>
                  </w:r>
                </w:p>
              </w:tc>
              <w:tc>
                <w:tcPr>
                  <w:tcW w:w="78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w:t>
                  </w:r>
                </w:p>
              </w:tc>
              <w:tc>
                <w:tcPr>
                  <w:tcW w:w="1015"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17</w:t>
                  </w:r>
                </w:p>
              </w:tc>
              <w:tc>
                <w:tcPr>
                  <w:tcW w:w="147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反应釜</w:t>
                  </w:r>
                </w:p>
              </w:tc>
              <w:tc>
                <w:tcPr>
                  <w:tcW w:w="136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w:t>
                  </w:r>
                </w:p>
              </w:tc>
              <w:tc>
                <w:tcPr>
                  <w:tcW w:w="78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2</w:t>
                  </w:r>
                </w:p>
              </w:tc>
              <w:tc>
                <w:tcPr>
                  <w:tcW w:w="1015"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18</w:t>
                  </w:r>
                </w:p>
              </w:tc>
              <w:tc>
                <w:tcPr>
                  <w:tcW w:w="147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成品输送泵</w:t>
                  </w:r>
                </w:p>
              </w:tc>
              <w:tc>
                <w:tcPr>
                  <w:tcW w:w="136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3QGB50X2-46</w:t>
                  </w:r>
                </w:p>
              </w:tc>
              <w:tc>
                <w:tcPr>
                  <w:tcW w:w="78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w:t>
                  </w:r>
                </w:p>
              </w:tc>
              <w:tc>
                <w:tcPr>
                  <w:tcW w:w="1015"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19</w:t>
                  </w:r>
                </w:p>
              </w:tc>
              <w:tc>
                <w:tcPr>
                  <w:tcW w:w="147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燃烧器（加热炉）</w:t>
                  </w:r>
                </w:p>
              </w:tc>
              <w:tc>
                <w:tcPr>
                  <w:tcW w:w="1362" w:type="pct"/>
                  <w:tcBorders>
                    <w:tl2br w:val="nil"/>
                    <w:tr2bl w:val="nil"/>
                  </w:tcBorders>
                  <w:vAlign w:val="center"/>
                </w:tcPr>
                <w:p>
                  <w:pPr>
                    <w:spacing w:line="320" w:lineRule="exact"/>
                    <w:jc w:val="center"/>
                    <w:rPr>
                      <w:rFonts w:ascii="Times New Roman" w:hAnsi="Times New Roman" w:cs="Times New Roman"/>
                    </w:rPr>
                  </w:pPr>
                  <w:r>
                    <w:rPr>
                      <w:rFonts w:ascii="Times New Roman" w:hAnsi="Times New Roman" w:cs="Times New Roman"/>
                    </w:rPr>
                    <w:t>RL190</w:t>
                  </w:r>
                </w:p>
              </w:tc>
              <w:tc>
                <w:tcPr>
                  <w:tcW w:w="78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w:t>
                  </w:r>
                </w:p>
              </w:tc>
              <w:tc>
                <w:tcPr>
                  <w:tcW w:w="1015"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20</w:t>
                  </w:r>
                </w:p>
              </w:tc>
              <w:tc>
                <w:tcPr>
                  <w:tcW w:w="147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2.5t/h有机热载体燃气炉</w:t>
                  </w:r>
                </w:p>
                <w:p>
                  <w:pPr>
                    <w:spacing w:line="320" w:lineRule="exact"/>
                    <w:jc w:val="center"/>
                    <w:rPr>
                      <w:rFonts w:ascii="Times New Roman" w:hAnsi="Times New Roman" w:cs="Times New Roman"/>
                      <w:szCs w:val="21"/>
                    </w:rPr>
                  </w:pPr>
                  <w:r>
                    <w:rPr>
                      <w:rFonts w:ascii="Times New Roman" w:hAnsi="Times New Roman" w:cs="Times New Roman"/>
                      <w:szCs w:val="21"/>
                    </w:rPr>
                    <w:t>（导热油炉）</w:t>
                  </w:r>
                </w:p>
              </w:tc>
              <w:tc>
                <w:tcPr>
                  <w:tcW w:w="1362" w:type="pct"/>
                  <w:tcBorders>
                    <w:tl2br w:val="nil"/>
                    <w:tr2bl w:val="nil"/>
                  </w:tcBorders>
                  <w:vAlign w:val="center"/>
                </w:tcPr>
                <w:p>
                  <w:pPr>
                    <w:spacing w:line="320" w:lineRule="exact"/>
                    <w:jc w:val="center"/>
                    <w:rPr>
                      <w:rFonts w:ascii="Times New Roman" w:hAnsi="Times New Roman" w:cs="Times New Roman"/>
                    </w:rPr>
                  </w:pPr>
                  <w:r>
                    <w:rPr>
                      <w:rFonts w:ascii="Times New Roman" w:hAnsi="Times New Roman" w:cs="Times New Roman"/>
                      <w:szCs w:val="21"/>
                    </w:rPr>
                    <w:t>Y(Y)QW-2000(Y)Q（160）型（介质为导热油）</w:t>
                  </w:r>
                </w:p>
              </w:tc>
              <w:tc>
                <w:tcPr>
                  <w:tcW w:w="78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w:t>
                  </w:r>
                </w:p>
              </w:tc>
              <w:tc>
                <w:tcPr>
                  <w:tcW w:w="1015"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21</w:t>
                  </w:r>
                </w:p>
              </w:tc>
              <w:tc>
                <w:tcPr>
                  <w:tcW w:w="147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1t/h燃气热水锅炉</w:t>
                  </w:r>
                </w:p>
              </w:tc>
              <w:tc>
                <w:tcPr>
                  <w:tcW w:w="136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介质为热水</w:t>
                  </w:r>
                </w:p>
              </w:tc>
              <w:tc>
                <w:tcPr>
                  <w:tcW w:w="78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w:t>
                  </w:r>
                </w:p>
              </w:tc>
              <w:tc>
                <w:tcPr>
                  <w:tcW w:w="1015"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22</w:t>
                  </w:r>
                </w:p>
              </w:tc>
              <w:tc>
                <w:tcPr>
                  <w:tcW w:w="147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提升机</w:t>
                  </w:r>
                </w:p>
              </w:tc>
              <w:tc>
                <w:tcPr>
                  <w:tcW w:w="136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w:t>
                  </w:r>
                </w:p>
              </w:tc>
              <w:tc>
                <w:tcPr>
                  <w:tcW w:w="78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w:t>
                  </w:r>
                </w:p>
              </w:tc>
              <w:tc>
                <w:tcPr>
                  <w:tcW w:w="1015"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2" w:hRule="atLeast"/>
                <w:jc w:val="center"/>
              </w:trPr>
              <w:tc>
                <w:tcPr>
                  <w:tcW w:w="369" w:type="pct"/>
                  <w:tcBorders>
                    <w:tl2br w:val="nil"/>
                    <w:tr2bl w:val="nil"/>
                  </w:tcBorders>
                  <w:vAlign w:val="center"/>
                </w:tcPr>
                <w:p>
                  <w:pPr>
                    <w:widowControl/>
                    <w:spacing w:line="320" w:lineRule="exact"/>
                    <w:jc w:val="center"/>
                    <w:textAlignment w:val="center"/>
                    <w:rPr>
                      <w:rFonts w:ascii="Times New Roman" w:hAnsi="Times New Roman" w:cs="Times New Roman"/>
                      <w:szCs w:val="21"/>
                    </w:rPr>
                  </w:pPr>
                  <w:r>
                    <w:rPr>
                      <w:rFonts w:ascii="Times New Roman" w:hAnsi="Times New Roman" w:cs="Times New Roman"/>
                      <w:kern w:val="0"/>
                      <w:szCs w:val="21"/>
                    </w:rPr>
                    <w:t>23</w:t>
                  </w:r>
                </w:p>
              </w:tc>
              <w:tc>
                <w:tcPr>
                  <w:tcW w:w="147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皮带输送机</w:t>
                  </w:r>
                </w:p>
              </w:tc>
              <w:tc>
                <w:tcPr>
                  <w:tcW w:w="136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w:t>
                  </w:r>
                </w:p>
              </w:tc>
              <w:tc>
                <w:tcPr>
                  <w:tcW w:w="78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w:t>
                  </w:r>
                </w:p>
              </w:tc>
              <w:tc>
                <w:tcPr>
                  <w:tcW w:w="1015"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套</w:t>
                  </w:r>
                </w:p>
              </w:tc>
            </w:tr>
          </w:tbl>
          <w:p>
            <w:pPr>
              <w:pStyle w:val="27"/>
              <w:ind w:firstLine="420"/>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8、原辅材料消耗及设备清单及产品方案</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本项目主要原料为碎石、中砂、沥青、矿粉以及矿粉等，原料供应满足要求。具体原辅材料用量见表2-3。</w:t>
            </w:r>
          </w:p>
          <w:p>
            <w:pPr>
              <w:spacing w:line="500" w:lineRule="exact"/>
              <w:ind w:firstLine="420" w:firstLineChars="200"/>
              <w:rPr>
                <w:rFonts w:ascii="Times New Roman" w:hAnsi="Times New Roman" w:eastAsia="黑体" w:cs="Times New Roman"/>
                <w:szCs w:val="21"/>
              </w:rPr>
            </w:pPr>
            <w:r>
              <w:rPr>
                <w:rFonts w:ascii="Times New Roman" w:hAnsi="Times New Roman" w:eastAsia="黑体" w:cs="Times New Roman"/>
                <w:szCs w:val="21"/>
              </w:rPr>
              <w:t>表2-3                  项目主要原辅料用量一览表</w:t>
            </w:r>
          </w:p>
          <w:tbl>
            <w:tblPr>
              <w:tblStyle w:val="18"/>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419"/>
              <w:gridCol w:w="2912"/>
              <w:gridCol w:w="1109"/>
              <w:gridCol w:w="1814"/>
              <w:gridCol w:w="1814"/>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782" w:type="pct"/>
                  <w:vAlign w:val="center"/>
                </w:tcPr>
                <w:p>
                  <w:pPr>
                    <w:widowControl/>
                    <w:spacing w:line="320" w:lineRule="exact"/>
                    <w:jc w:val="center"/>
                    <w:rPr>
                      <w:rFonts w:ascii="Times New Roman" w:hAnsi="Times New Roman" w:eastAsia="黑体" w:cs="Times New Roman"/>
                      <w:bCs/>
                      <w:kern w:val="0"/>
                      <w:szCs w:val="21"/>
                    </w:rPr>
                  </w:pPr>
                  <w:r>
                    <w:rPr>
                      <w:rFonts w:ascii="Times New Roman" w:hAnsi="Times New Roman" w:eastAsia="黑体" w:cs="Times New Roman"/>
                      <w:bCs/>
                      <w:kern w:val="0"/>
                      <w:szCs w:val="21"/>
                    </w:rPr>
                    <w:t>序号</w:t>
                  </w:r>
                </w:p>
              </w:tc>
              <w:tc>
                <w:tcPr>
                  <w:tcW w:w="1605" w:type="pct"/>
                  <w:vAlign w:val="center"/>
                </w:tcPr>
                <w:p>
                  <w:pPr>
                    <w:snapToGrid w:val="0"/>
                    <w:spacing w:line="320" w:lineRule="exact"/>
                    <w:jc w:val="center"/>
                    <w:rPr>
                      <w:rFonts w:ascii="Times New Roman" w:hAnsi="Times New Roman" w:eastAsia="黑体" w:cs="Times New Roman"/>
                      <w:bCs/>
                      <w:szCs w:val="21"/>
                    </w:rPr>
                  </w:pPr>
                  <w:r>
                    <w:rPr>
                      <w:rFonts w:ascii="Times New Roman" w:hAnsi="Times New Roman" w:eastAsia="黑体" w:cs="Times New Roman"/>
                      <w:bCs/>
                      <w:szCs w:val="21"/>
                    </w:rPr>
                    <w:t>原料名称</w:t>
                  </w:r>
                </w:p>
              </w:tc>
              <w:tc>
                <w:tcPr>
                  <w:tcW w:w="611" w:type="pct"/>
                  <w:vAlign w:val="center"/>
                </w:tcPr>
                <w:p>
                  <w:pPr>
                    <w:snapToGrid w:val="0"/>
                    <w:spacing w:line="320" w:lineRule="exact"/>
                    <w:jc w:val="center"/>
                    <w:rPr>
                      <w:rFonts w:ascii="Times New Roman" w:hAnsi="Times New Roman" w:eastAsia="黑体" w:cs="Times New Roman"/>
                      <w:bCs/>
                      <w:szCs w:val="21"/>
                    </w:rPr>
                  </w:pPr>
                  <w:r>
                    <w:rPr>
                      <w:rFonts w:ascii="Times New Roman" w:hAnsi="Times New Roman" w:eastAsia="黑体" w:cs="Times New Roman"/>
                      <w:bCs/>
                      <w:szCs w:val="21"/>
                    </w:rPr>
                    <w:t>单位</w:t>
                  </w:r>
                </w:p>
              </w:tc>
              <w:tc>
                <w:tcPr>
                  <w:tcW w:w="1000" w:type="pct"/>
                  <w:vAlign w:val="center"/>
                </w:tcPr>
                <w:p>
                  <w:pPr>
                    <w:snapToGrid w:val="0"/>
                    <w:spacing w:line="320" w:lineRule="exact"/>
                    <w:jc w:val="center"/>
                    <w:rPr>
                      <w:rFonts w:ascii="Times New Roman" w:hAnsi="Times New Roman" w:eastAsia="黑体" w:cs="Times New Roman"/>
                      <w:bCs/>
                      <w:szCs w:val="21"/>
                    </w:rPr>
                  </w:pPr>
                  <w:r>
                    <w:rPr>
                      <w:rFonts w:ascii="Times New Roman" w:hAnsi="Times New Roman" w:eastAsia="黑体" w:cs="Times New Roman"/>
                      <w:bCs/>
                      <w:szCs w:val="21"/>
                    </w:rPr>
                    <w:t>形态</w:t>
                  </w:r>
                </w:p>
              </w:tc>
              <w:tc>
                <w:tcPr>
                  <w:tcW w:w="1000" w:type="pct"/>
                  <w:vAlign w:val="center"/>
                </w:tcPr>
                <w:p>
                  <w:pPr>
                    <w:snapToGrid w:val="0"/>
                    <w:spacing w:line="320" w:lineRule="exact"/>
                    <w:jc w:val="center"/>
                    <w:rPr>
                      <w:rFonts w:ascii="Times New Roman" w:hAnsi="Times New Roman" w:eastAsia="黑体" w:cs="Times New Roman"/>
                      <w:bCs/>
                      <w:szCs w:val="21"/>
                    </w:rPr>
                  </w:pPr>
                  <w:r>
                    <w:rPr>
                      <w:rFonts w:ascii="Times New Roman" w:hAnsi="Times New Roman" w:eastAsia="黑体" w:cs="Times New Roman"/>
                      <w:bCs/>
                      <w:szCs w:val="21"/>
                    </w:rPr>
                    <w:t>年用量</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782" w:type="pct"/>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1</w:t>
                  </w:r>
                </w:p>
              </w:tc>
              <w:tc>
                <w:tcPr>
                  <w:tcW w:w="1605" w:type="pct"/>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基质沥青</w:t>
                  </w:r>
                </w:p>
              </w:tc>
              <w:tc>
                <w:tcPr>
                  <w:tcW w:w="611"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t/a</w:t>
                  </w:r>
                </w:p>
              </w:tc>
              <w:tc>
                <w:tcPr>
                  <w:tcW w:w="1000" w:type="pct"/>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固态</w:t>
                  </w:r>
                </w:p>
              </w:tc>
              <w:tc>
                <w:tcPr>
                  <w:tcW w:w="1000" w:type="pct"/>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4500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782" w:type="pct"/>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2</w:t>
                  </w:r>
                </w:p>
              </w:tc>
              <w:tc>
                <w:tcPr>
                  <w:tcW w:w="1605" w:type="pct"/>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改性沥青</w:t>
                  </w:r>
                </w:p>
              </w:tc>
              <w:tc>
                <w:tcPr>
                  <w:tcW w:w="611"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t/a</w:t>
                  </w:r>
                </w:p>
              </w:tc>
              <w:tc>
                <w:tcPr>
                  <w:tcW w:w="1000" w:type="pct"/>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固态</w:t>
                  </w:r>
                </w:p>
              </w:tc>
              <w:tc>
                <w:tcPr>
                  <w:tcW w:w="1000" w:type="pct"/>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12350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782" w:type="pct"/>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3</w:t>
                  </w:r>
                </w:p>
              </w:tc>
              <w:tc>
                <w:tcPr>
                  <w:tcW w:w="1605" w:type="pct"/>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乳化沥青</w:t>
                  </w:r>
                </w:p>
              </w:tc>
              <w:tc>
                <w:tcPr>
                  <w:tcW w:w="611"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t/a</w:t>
                  </w:r>
                </w:p>
              </w:tc>
              <w:tc>
                <w:tcPr>
                  <w:tcW w:w="1000"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固态</w:t>
                  </w:r>
                </w:p>
              </w:tc>
              <w:tc>
                <w:tcPr>
                  <w:tcW w:w="1000" w:type="pct"/>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2500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782" w:type="pct"/>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4</w:t>
                  </w:r>
                </w:p>
              </w:tc>
              <w:tc>
                <w:tcPr>
                  <w:tcW w:w="1605" w:type="pct"/>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彩色沥青染料</w:t>
                  </w:r>
                </w:p>
              </w:tc>
              <w:tc>
                <w:tcPr>
                  <w:tcW w:w="611"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t/a</w:t>
                  </w:r>
                </w:p>
              </w:tc>
              <w:tc>
                <w:tcPr>
                  <w:tcW w:w="1000"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固态</w:t>
                  </w:r>
                </w:p>
              </w:tc>
              <w:tc>
                <w:tcPr>
                  <w:tcW w:w="1000" w:type="pct"/>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800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trHeight w:val="397" w:hRule="atLeast"/>
                <w:jc w:val="center"/>
              </w:trPr>
              <w:tc>
                <w:tcPr>
                  <w:tcW w:w="782" w:type="pct"/>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5</w:t>
                  </w:r>
                </w:p>
              </w:tc>
              <w:tc>
                <w:tcPr>
                  <w:tcW w:w="1605" w:type="pct"/>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碎石</w:t>
                  </w:r>
                </w:p>
              </w:tc>
              <w:tc>
                <w:tcPr>
                  <w:tcW w:w="611"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t/a</w:t>
                  </w:r>
                </w:p>
              </w:tc>
              <w:tc>
                <w:tcPr>
                  <w:tcW w:w="1000"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固态</w:t>
                  </w:r>
                </w:p>
              </w:tc>
              <w:tc>
                <w:tcPr>
                  <w:tcW w:w="1000" w:type="pct"/>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315210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782" w:type="pct"/>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6</w:t>
                  </w:r>
                </w:p>
              </w:tc>
              <w:tc>
                <w:tcPr>
                  <w:tcW w:w="1605" w:type="pct"/>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石屑</w:t>
                  </w:r>
                </w:p>
              </w:tc>
              <w:tc>
                <w:tcPr>
                  <w:tcW w:w="611"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t/a</w:t>
                  </w:r>
                </w:p>
              </w:tc>
              <w:tc>
                <w:tcPr>
                  <w:tcW w:w="1000" w:type="pct"/>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固态</w:t>
                  </w:r>
                </w:p>
              </w:tc>
              <w:tc>
                <w:tcPr>
                  <w:tcW w:w="1000" w:type="pct"/>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175000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782" w:type="pct"/>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7</w:t>
                  </w:r>
                </w:p>
              </w:tc>
              <w:tc>
                <w:tcPr>
                  <w:tcW w:w="1605" w:type="pct"/>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机制砂</w:t>
                  </w:r>
                </w:p>
              </w:tc>
              <w:tc>
                <w:tcPr>
                  <w:tcW w:w="611"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t/a</w:t>
                  </w:r>
                </w:p>
              </w:tc>
              <w:tc>
                <w:tcPr>
                  <w:tcW w:w="1000" w:type="pct"/>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固态</w:t>
                  </w:r>
                </w:p>
              </w:tc>
              <w:tc>
                <w:tcPr>
                  <w:tcW w:w="1000" w:type="pct"/>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98191.3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782" w:type="pct"/>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8</w:t>
                  </w:r>
                </w:p>
              </w:tc>
              <w:tc>
                <w:tcPr>
                  <w:tcW w:w="1605" w:type="pct"/>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矿粉</w:t>
                  </w:r>
                </w:p>
              </w:tc>
              <w:tc>
                <w:tcPr>
                  <w:tcW w:w="611"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t/a</w:t>
                  </w:r>
                </w:p>
              </w:tc>
              <w:tc>
                <w:tcPr>
                  <w:tcW w:w="1000" w:type="pct"/>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固态</w:t>
                  </w:r>
                </w:p>
              </w:tc>
              <w:tc>
                <w:tcPr>
                  <w:tcW w:w="1000" w:type="pct"/>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97490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782" w:type="pct"/>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9</w:t>
                  </w:r>
                </w:p>
              </w:tc>
              <w:tc>
                <w:tcPr>
                  <w:tcW w:w="1605" w:type="pct"/>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重油</w:t>
                  </w:r>
                </w:p>
              </w:tc>
              <w:tc>
                <w:tcPr>
                  <w:tcW w:w="611"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t/a</w:t>
                  </w:r>
                </w:p>
              </w:tc>
              <w:tc>
                <w:tcPr>
                  <w:tcW w:w="1000" w:type="pct"/>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固态</w:t>
                  </w:r>
                </w:p>
              </w:tc>
              <w:tc>
                <w:tcPr>
                  <w:tcW w:w="1000" w:type="pct"/>
                  <w:vAlign w:val="center"/>
                </w:tcPr>
                <w:p>
                  <w:pPr>
                    <w:spacing w:line="320" w:lineRule="exact"/>
                    <w:jc w:val="center"/>
                    <w:rPr>
                      <w:rFonts w:ascii="Times New Roman" w:hAnsi="Times New Roman" w:cs="Times New Roman"/>
                      <w:kern w:val="0"/>
                      <w:szCs w:val="21"/>
                    </w:rPr>
                  </w:pPr>
                  <w:r>
                    <w:rPr>
                      <w:rFonts w:ascii="Times New Roman" w:hAnsi="Times New Roman" w:cs="Times New Roman"/>
                      <w:kern w:val="0"/>
                      <w:szCs w:val="21"/>
                    </w:rPr>
                    <w:t>5000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782" w:type="pct"/>
                  <w:vAlign w:val="center"/>
                </w:tcPr>
                <w:p>
                  <w:pPr>
                    <w:widowControl/>
                    <w:spacing w:line="320" w:lineRule="exact"/>
                    <w:jc w:val="center"/>
                    <w:rPr>
                      <w:rFonts w:ascii="Times New Roman" w:hAnsi="Times New Roman" w:cs="Times New Roman"/>
                      <w:kern w:val="0"/>
                      <w:szCs w:val="21"/>
                    </w:rPr>
                  </w:pPr>
                  <w:r>
                    <w:rPr>
                      <w:rFonts w:ascii="Times New Roman" w:hAnsi="Times New Roman" w:cs="Times New Roman"/>
                      <w:kern w:val="0"/>
                      <w:szCs w:val="21"/>
                    </w:rPr>
                    <w:t>10</w:t>
                  </w:r>
                </w:p>
              </w:tc>
              <w:tc>
                <w:tcPr>
                  <w:tcW w:w="1605" w:type="pct"/>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天然气</w:t>
                  </w:r>
                </w:p>
              </w:tc>
              <w:tc>
                <w:tcPr>
                  <w:tcW w:w="611"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Nm</w:t>
                  </w:r>
                  <w:r>
                    <w:rPr>
                      <w:rFonts w:ascii="Times New Roman" w:hAnsi="Times New Roman" w:cs="Times New Roman"/>
                      <w:szCs w:val="21"/>
                      <w:vertAlign w:val="superscript"/>
                    </w:rPr>
                    <w:t>3</w:t>
                  </w:r>
                  <w:r>
                    <w:rPr>
                      <w:rFonts w:ascii="Times New Roman" w:hAnsi="Times New Roman" w:cs="Times New Roman"/>
                      <w:szCs w:val="21"/>
                    </w:rPr>
                    <w:t>/a</w:t>
                  </w:r>
                </w:p>
              </w:tc>
              <w:tc>
                <w:tcPr>
                  <w:tcW w:w="1000" w:type="pct"/>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气态</w:t>
                  </w:r>
                </w:p>
              </w:tc>
              <w:tc>
                <w:tcPr>
                  <w:tcW w:w="1000" w:type="pct"/>
                  <w:vAlign w:val="center"/>
                </w:tcPr>
                <w:p>
                  <w:pPr>
                    <w:spacing w:line="320" w:lineRule="exact"/>
                    <w:jc w:val="center"/>
                    <w:rPr>
                      <w:rFonts w:ascii="Times New Roman" w:hAnsi="Times New Roman" w:cs="Times New Roman"/>
                      <w:szCs w:val="21"/>
                    </w:rPr>
                  </w:pPr>
                  <w:r>
                    <w:rPr>
                      <w:rFonts w:ascii="Times New Roman" w:hAnsi="Times New Roman" w:cs="Times New Roman"/>
                      <w:kern w:val="0"/>
                      <w:szCs w:val="21"/>
                    </w:rPr>
                    <w:t>3440960</w:t>
                  </w:r>
                </w:p>
              </w:tc>
            </w:tr>
          </w:tbl>
          <w:p>
            <w:pPr>
              <w:spacing w:line="500" w:lineRule="exact"/>
              <w:ind w:firstLine="420" w:firstLineChars="200"/>
              <w:rPr>
                <w:rFonts w:ascii="Times New Roman" w:hAnsi="Times New Roman" w:eastAsia="黑体" w:cs="Times New Roman"/>
                <w:szCs w:val="21"/>
              </w:rPr>
            </w:pPr>
            <w:r>
              <w:rPr>
                <w:rFonts w:ascii="Times New Roman" w:hAnsi="Times New Roman" w:eastAsia="黑体" w:cs="Times New Roman"/>
                <w:szCs w:val="21"/>
              </w:rPr>
              <w:t>表2-4                      产品规格一览表</w:t>
            </w:r>
          </w:p>
          <w:tbl>
            <w:tblPr>
              <w:tblStyle w:val="18"/>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2540"/>
              <w:gridCol w:w="3266"/>
              <w:gridCol w:w="3266"/>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400" w:type="pct"/>
                  <w:vAlign w:val="center"/>
                </w:tcPr>
                <w:p>
                  <w:pPr>
                    <w:snapToGrid w:val="0"/>
                    <w:jc w:val="center"/>
                    <w:rPr>
                      <w:rFonts w:ascii="Times New Roman" w:hAnsi="Times New Roman" w:eastAsia="黑体" w:cs="Times New Roman"/>
                      <w:szCs w:val="21"/>
                    </w:rPr>
                  </w:pPr>
                  <w:r>
                    <w:rPr>
                      <w:rFonts w:ascii="Times New Roman" w:hAnsi="Times New Roman" w:eastAsia="黑体" w:cs="Times New Roman"/>
                      <w:szCs w:val="21"/>
                    </w:rPr>
                    <w:t>产品名称</w:t>
                  </w:r>
                </w:p>
              </w:tc>
              <w:tc>
                <w:tcPr>
                  <w:tcW w:w="1800" w:type="pct"/>
                  <w:vAlign w:val="center"/>
                </w:tcPr>
                <w:p>
                  <w:pPr>
                    <w:jc w:val="center"/>
                    <w:rPr>
                      <w:rFonts w:ascii="Times New Roman" w:hAnsi="Times New Roman" w:eastAsia="黑体" w:cs="Times New Roman"/>
                    </w:rPr>
                  </w:pPr>
                  <w:r>
                    <w:rPr>
                      <w:rFonts w:ascii="Times New Roman" w:hAnsi="Times New Roman" w:eastAsia="黑体" w:cs="Times New Roman"/>
                      <w:bCs/>
                    </w:rPr>
                    <w:t>产品产量</w:t>
                  </w:r>
                  <w:r>
                    <w:rPr>
                      <w:rFonts w:ascii="Times New Roman" w:hAnsi="Times New Roman" w:eastAsia="黑体" w:cs="Times New Roman"/>
                      <w:szCs w:val="21"/>
                    </w:rPr>
                    <w:t>（m</w:t>
                  </w:r>
                  <w:r>
                    <w:rPr>
                      <w:rFonts w:ascii="Times New Roman" w:hAnsi="Times New Roman" w:eastAsia="黑体" w:cs="Times New Roman"/>
                      <w:szCs w:val="21"/>
                      <w:vertAlign w:val="superscript"/>
                    </w:rPr>
                    <w:t>3</w:t>
                  </w:r>
                  <w:r>
                    <w:rPr>
                      <w:rFonts w:ascii="Times New Roman" w:hAnsi="Times New Roman" w:eastAsia="黑体" w:cs="Times New Roman"/>
                      <w:szCs w:val="21"/>
                    </w:rPr>
                    <w:t>/a）</w:t>
                  </w:r>
                </w:p>
              </w:tc>
              <w:tc>
                <w:tcPr>
                  <w:tcW w:w="1800" w:type="pct"/>
                  <w:vAlign w:val="center"/>
                </w:tcPr>
                <w:p>
                  <w:pPr>
                    <w:snapToGrid w:val="0"/>
                    <w:jc w:val="center"/>
                    <w:rPr>
                      <w:rFonts w:ascii="Times New Roman" w:hAnsi="Times New Roman" w:eastAsia="黑体" w:cs="Times New Roman"/>
                      <w:szCs w:val="21"/>
                    </w:rPr>
                  </w:pPr>
                  <w:r>
                    <w:rPr>
                      <w:rFonts w:ascii="Times New Roman" w:hAnsi="Times New Roman" w:eastAsia="黑体" w:cs="Times New Roman"/>
                      <w:szCs w:val="21"/>
                    </w:rPr>
                    <w:t>产品质量（t/a）</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400" w:type="pct"/>
                  <w:vAlign w:val="center"/>
                </w:tcPr>
                <w:p>
                  <w:pPr>
                    <w:snapToGrid w:val="0"/>
                    <w:jc w:val="center"/>
                    <w:rPr>
                      <w:rFonts w:ascii="Times New Roman" w:hAnsi="Times New Roman" w:cs="Times New Roman"/>
                      <w:szCs w:val="21"/>
                    </w:rPr>
                  </w:pPr>
                  <w:r>
                    <w:rPr>
                      <w:rFonts w:ascii="Times New Roman" w:hAnsi="Times New Roman" w:cs="Times New Roman"/>
                      <w:szCs w:val="21"/>
                    </w:rPr>
                    <w:t>沥青混凝土</w:t>
                  </w:r>
                </w:p>
              </w:tc>
              <w:tc>
                <w:tcPr>
                  <w:tcW w:w="1800" w:type="pct"/>
                  <w:vAlign w:val="center"/>
                </w:tcPr>
                <w:p>
                  <w:pPr>
                    <w:snapToGrid w:val="0"/>
                    <w:jc w:val="center"/>
                    <w:rPr>
                      <w:rFonts w:ascii="Times New Roman" w:hAnsi="Times New Roman" w:cs="Times New Roman"/>
                      <w:szCs w:val="21"/>
                    </w:rPr>
                  </w:pPr>
                  <w:r>
                    <w:rPr>
                      <w:rFonts w:ascii="Times New Roman" w:hAnsi="Times New Roman" w:cs="Times New Roman"/>
                      <w:szCs w:val="21"/>
                    </w:rPr>
                    <w:t>300000</w:t>
                  </w:r>
                </w:p>
              </w:tc>
              <w:tc>
                <w:tcPr>
                  <w:tcW w:w="1800" w:type="pct"/>
                  <w:vAlign w:val="center"/>
                </w:tcPr>
                <w:p>
                  <w:pPr>
                    <w:snapToGrid w:val="0"/>
                    <w:jc w:val="center"/>
                    <w:rPr>
                      <w:rFonts w:ascii="Times New Roman" w:hAnsi="Times New Roman" w:cs="Times New Roman"/>
                      <w:szCs w:val="21"/>
                    </w:rPr>
                  </w:pPr>
                  <w:r>
                    <w:rPr>
                      <w:rFonts w:ascii="Times New Roman" w:hAnsi="Times New Roman" w:cs="Times New Roman"/>
                      <w:szCs w:val="21"/>
                    </w:rPr>
                    <w:t>711000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400" w:type="pct"/>
                  <w:vAlign w:val="center"/>
                </w:tcPr>
                <w:p>
                  <w:pPr>
                    <w:snapToGrid w:val="0"/>
                    <w:jc w:val="center"/>
                    <w:rPr>
                      <w:rFonts w:ascii="Times New Roman" w:hAnsi="Times New Roman" w:cs="Times New Roman"/>
                      <w:szCs w:val="21"/>
                    </w:rPr>
                  </w:pPr>
                  <w:r>
                    <w:rPr>
                      <w:rFonts w:ascii="Times New Roman" w:hAnsi="Times New Roman" w:cs="Times New Roman"/>
                      <w:szCs w:val="21"/>
                    </w:rPr>
                    <w:t>彩色沥青混凝土</w:t>
                  </w:r>
                </w:p>
              </w:tc>
              <w:tc>
                <w:tcPr>
                  <w:tcW w:w="1800" w:type="pct"/>
                  <w:vAlign w:val="center"/>
                </w:tcPr>
                <w:p>
                  <w:pPr>
                    <w:snapToGrid w:val="0"/>
                    <w:jc w:val="center"/>
                    <w:rPr>
                      <w:rFonts w:ascii="Times New Roman" w:hAnsi="Times New Roman" w:cs="Times New Roman"/>
                      <w:szCs w:val="21"/>
                    </w:rPr>
                  </w:pPr>
                  <w:r>
                    <w:rPr>
                      <w:rFonts w:ascii="Times New Roman" w:hAnsi="Times New Roman" w:cs="Times New Roman"/>
                      <w:szCs w:val="21"/>
                    </w:rPr>
                    <w:t>50000</w:t>
                  </w:r>
                </w:p>
              </w:tc>
              <w:tc>
                <w:tcPr>
                  <w:tcW w:w="1800" w:type="pct"/>
                  <w:vAlign w:val="center"/>
                </w:tcPr>
                <w:p>
                  <w:pPr>
                    <w:snapToGrid w:val="0"/>
                    <w:jc w:val="center"/>
                    <w:rPr>
                      <w:rFonts w:ascii="Times New Roman" w:hAnsi="Times New Roman" w:cs="Times New Roman"/>
                      <w:szCs w:val="21"/>
                    </w:rPr>
                  </w:pPr>
                  <w:r>
                    <w:rPr>
                      <w:rFonts w:ascii="Times New Roman" w:hAnsi="Times New Roman" w:cs="Times New Roman"/>
                      <w:szCs w:val="21"/>
                    </w:rPr>
                    <w:t>11850</w:t>
                  </w:r>
                </w:p>
              </w:tc>
            </w:tr>
          </w:tbl>
          <w:p>
            <w:pPr>
              <w:pStyle w:val="2"/>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447" w:hRule="atLeast"/>
          <w:jc w:val="center"/>
        </w:trPr>
        <w:tc>
          <w:tcPr>
            <w:tcW w:w="0" w:type="auto"/>
          </w:tcPr>
          <w:p>
            <w:pPr>
              <w:spacing w:line="500" w:lineRule="exact"/>
              <w:rPr>
                <w:rFonts w:ascii="Times New Roman" w:hAnsi="Times New Roman" w:cs="Times New Roman"/>
                <w:sz w:val="24"/>
              </w:rPr>
            </w:pPr>
            <w:r>
              <w:rPr>
                <w:rFonts w:ascii="Times New Roman" w:hAnsi="Times New Roman" w:cs="Times New Roman"/>
                <w:sz w:val="24"/>
              </w:rPr>
              <w:t>主要工艺流程及产污环节（附处理工艺流程图，标出产污节点）</w:t>
            </w:r>
          </w:p>
          <w:p>
            <w:pPr>
              <w:pStyle w:val="27"/>
              <w:ind w:firstLine="420"/>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1、主要工艺流程及产污环节：</w:t>
            </w:r>
          </w:p>
          <w:p>
            <w:pPr>
              <w:pStyle w:val="27"/>
              <w:spacing w:line="240" w:lineRule="auto"/>
              <w:ind w:firstLine="0" w:firstLineChars="0"/>
              <w:rPr>
                <w:rFonts w:ascii="Times New Roman" w:hAnsi="Times New Roman" w:eastAsia="宋体" w:cs="Times New Roman"/>
                <w:b/>
                <w:bCs/>
                <w:sz w:val="21"/>
                <w:szCs w:val="21"/>
              </w:rPr>
            </w:pPr>
            <w:r>
              <w:rPr>
                <w:rFonts w:ascii="Times New Roman" w:hAnsi="Times New Roman" w:eastAsia="宋体" w:cs="Times New Roman"/>
                <w:b/>
                <w:bCs/>
                <w:sz w:val="21"/>
                <w:szCs w:val="21"/>
              </w:rPr>
              <w:drawing>
                <wp:inline distT="0" distB="0" distL="114300" distR="114300">
                  <wp:extent cx="5342255" cy="3392170"/>
                  <wp:effectExtent l="0" t="0" r="10795" b="17780"/>
                  <wp:docPr id="5" name="图片 14" descr="产污环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descr="产污环节"/>
                          <pic:cNvPicPr>
                            <a:picLocks noChangeAspect="1"/>
                          </pic:cNvPicPr>
                        </pic:nvPicPr>
                        <pic:blipFill>
                          <a:blip r:embed="rId10" cstate="print"/>
                          <a:stretch>
                            <a:fillRect/>
                          </a:stretch>
                        </pic:blipFill>
                        <pic:spPr>
                          <a:xfrm>
                            <a:off x="0" y="0"/>
                            <a:ext cx="5342255" cy="3392170"/>
                          </a:xfrm>
                          <a:prstGeom prst="rect">
                            <a:avLst/>
                          </a:prstGeom>
                        </pic:spPr>
                      </pic:pic>
                    </a:graphicData>
                  </a:graphic>
                </wp:inline>
              </w:drawing>
            </w:r>
          </w:p>
          <w:p>
            <w:pPr>
              <w:pStyle w:val="25"/>
              <w:ind w:firstLine="0"/>
              <w:jc w:val="center"/>
              <w:rPr>
                <w:rFonts w:hAnsi="Times New Roman" w:eastAsia="黑体" w:cs="Times New Roman"/>
                <w:szCs w:val="21"/>
              </w:rPr>
            </w:pPr>
            <w:r>
              <w:rPr>
                <w:rFonts w:hAnsi="Times New Roman" w:eastAsia="黑体" w:cs="Times New Roman"/>
                <w:szCs w:val="21"/>
              </w:rPr>
              <w:t>图2-3  工艺流程及产污节点图</w:t>
            </w:r>
          </w:p>
          <w:p>
            <w:pPr>
              <w:spacing w:line="500" w:lineRule="exact"/>
              <w:ind w:firstLine="420" w:firstLineChars="200"/>
              <w:rPr>
                <w:rFonts w:ascii="Times New Roman" w:hAnsi="Times New Roman" w:eastAsia="宋体" w:cs="Times New Roman"/>
                <w:bCs/>
                <w:szCs w:val="21"/>
              </w:rPr>
            </w:pPr>
            <w:r>
              <w:rPr>
                <w:rFonts w:ascii="Times New Roman" w:hAnsi="Times New Roman" w:eastAsia="宋体" w:cs="Times New Roman"/>
                <w:bCs/>
                <w:szCs w:val="21"/>
              </w:rPr>
              <w:t>2、项目工艺流程简述：</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项目生产的沥青拌合料，是不同粒径的碎石按照一定的配比经配料、干燥加热后，与矿渣微粉、加热后的沥青进行拌合而成的混合料。彩色沥青与普通沥青工艺相同，需在上料过程中加入彩色沥青染料，其余均完全相同。</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生产工艺流程如下。</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（1）原料的装卸、储存</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不同粒径的碎石由汽车运输进场后卸至原料区内储存；沥青由沥青罐车运输进场后由实验室检验合格后经地罐中转泵送至沥青储罐，检测指标为针入度、延度、软化点等，均为物理性试验，无废水排放，试验完成后的沥青可回用于生产。</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（2）原料准备</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A、配料</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由装载机将不同粒径的碎石转运至上料仓，料仓的下料量由料仓下的调速电机转速控制，下料后的物料经过一次落料转运，落料转运过程中用振筛进行筛分，去除不符合要求的大粒径碎石，然后由同一条密闭的皮带输送至干燥滚筒。</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B、干燥</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下料后的物料由密闭的皮带输送至干燥滚筒首端，将滚筒内的物料进行干燥加热，加热后的物料随着滚筒内轴的运动进入滚筒尾端的提升机。</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 xml:space="preserve">C、筛分 </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提升机将加热后的物料密闭提升至拌合设备的顶端，由顶端的筛网将混合后的物料进行筛分，筛分后的物料根据粒径的不同进入拌合楼中各自的料仓内。如果料仓中的堆料多余料仓的容纳能力后，会从拌合设备的溢料口溢出。</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D、沥青预处理流程</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沥青在存储过程及使用前需要对沥青储罐进行保温处理。项目采用1台燃气导热油炉将沥青加热，使其加热至120</w:t>
            </w:r>
            <w:r>
              <w:rPr>
                <w:rFonts w:ascii="宋体" w:hAnsi="Times New Roman" w:eastAsia="宋体" w:cs="Times New Roman"/>
                <w:szCs w:val="21"/>
              </w:rPr>
              <w:t>℃</w:t>
            </w:r>
            <w:r>
              <w:rPr>
                <w:rFonts w:ascii="Times New Roman" w:hAnsi="Times New Roman" w:eastAsia="宋体" w:cs="Times New Roman"/>
                <w:szCs w:val="21"/>
              </w:rPr>
              <w:t>，预处理后的沥青待用。</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 xml:space="preserve">（3）拌合  </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进入拌合料仓中的物料由物料下方自带的称重系统计量后下料进入搅拌缸，同时，矿渣由螺旋输送机输送至搅拌缸，沥青泵将加热后的沥青喷入搅拌缸，沥青、重油、矿渣、拌合料仓中的物料在搅拌缸中进行充分的拌合，拌合过程在密闭的搅拌缸中进行。</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（4）出料</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卸料口位于搅拌缸的底部，物料拌合完成后，开启料仓的阀门，拌合料落入运输车中直接拉运外售。如果料仓有剩余的原料，且温度达不到拌合温度时，会通过料仓与下料口的直通仓直接下料到运输车中，然后返回原料工序回用。</w:t>
            </w:r>
          </w:p>
          <w:p>
            <w:pPr>
              <w:spacing w:line="500" w:lineRule="exact"/>
              <w:rPr>
                <w:rFonts w:ascii="Times New Roman" w:hAnsi="Times New Roman" w:eastAsia="宋体" w:cs="Times New Roman"/>
                <w:bCs/>
                <w:szCs w:val="21"/>
              </w:rPr>
            </w:pPr>
          </w:p>
        </w:tc>
      </w:tr>
    </w:tbl>
    <w:p>
      <w:pPr>
        <w:rPr>
          <w:rFonts w:ascii="Times New Roman" w:hAnsi="Times New Roman" w:cs="Times New Roman"/>
          <w:color w:val="FF0000"/>
        </w:rPr>
      </w:pPr>
    </w:p>
    <w:p>
      <w:pPr>
        <w:outlineLvl w:val="0"/>
        <w:rPr>
          <w:rFonts w:ascii="Times New Roman" w:hAnsi="Times New Roman" w:eastAsia="黑体" w:cs="Times New Roman"/>
          <w:b/>
          <w:sz w:val="24"/>
        </w:rPr>
      </w:pPr>
      <w:bookmarkStart w:id="6" w:name="_Toc31719"/>
      <w:r>
        <w:rPr>
          <w:rFonts w:ascii="Times New Roman" w:hAnsi="Times New Roman" w:eastAsia="黑体" w:cs="Times New Roman"/>
          <w:bCs/>
          <w:sz w:val="24"/>
        </w:rPr>
        <w:t>表三</w:t>
      </w:r>
      <w:bookmarkEnd w:id="6"/>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Pr>
          <w:p>
            <w:pPr>
              <w:pStyle w:val="28"/>
              <w:ind w:firstLine="0" w:firstLineChars="0"/>
              <w:jc w:val="both"/>
              <w:rPr>
                <w:rFonts w:ascii="Times New Roman" w:hAnsi="Times New Roman" w:cs="Times New Roman"/>
                <w:spacing w:val="0"/>
                <w:kern w:val="2"/>
                <w:szCs w:val="21"/>
              </w:rPr>
            </w:pPr>
            <w:r>
              <w:rPr>
                <w:rFonts w:ascii="Times New Roman" w:hAnsi="Times New Roman" w:cs="Times New Roman"/>
                <w:spacing w:val="0"/>
                <w:kern w:val="2"/>
                <w:szCs w:val="21"/>
              </w:rPr>
              <w:t>主要污染源、污染物处理和排放（附处理流程示意图，标出废水、废气、厂界噪声监测点位）</w:t>
            </w:r>
          </w:p>
          <w:p>
            <w:pPr>
              <w:spacing w:line="500" w:lineRule="exact"/>
              <w:ind w:firstLine="422" w:firstLineChars="200"/>
              <w:rPr>
                <w:rFonts w:ascii="Times New Roman" w:hAnsi="Times New Roman" w:cs="Times New Roman"/>
                <w:b/>
                <w:szCs w:val="21"/>
              </w:rPr>
            </w:pPr>
            <w:r>
              <w:rPr>
                <w:rFonts w:ascii="Times New Roman" w:hAnsi="Times New Roman" w:cs="Times New Roman"/>
                <w:b/>
                <w:szCs w:val="21"/>
              </w:rPr>
              <w:t>施工期：</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1、施工期工艺流程简述：</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本项目施工期产生的环境影响因素主要有：噪声、扬尘、建筑垃圾及施工人员的生活垃圾等。施工期主要是土建工程、钢结构制作安装及设备安装，施工时间短，对环境影响不大，且随施工期的结束，环境影响也将随之消失。</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2、施工期污染源项目分析：</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（1）场地平整、各类建材及土石方进出施工现场带来的扬尘影响；</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（2）施工作业产生的含泥沙废水以及人员生活污水排放对环境造成的影响；</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（3）各类建筑机械噪声对周围声环境造成一定影响；</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（4）本项目施工期固体废物包括因土方开挖而造成土方增加和建筑过程中产生的建筑垃圾对环境造成的影响，施工人员产生的生活垃圾。</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3、施工期污染防治措施</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本项目为新建项目，施工期间会对环境造成一定影响，主要表现在场地平整、各类建材及土石方进出施工现场带来的扬尘影响；施工作业产生的含泥沙废水以及人员生活污水排放对环境造成的影响；各类建筑机械噪声对周围声环境造成一定影响；因土方开挖而造成土方增加和建筑过程中产生的建筑垃圾对环境造成的影响。</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（1）施工期废水防治措施</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工程施工期间，施工单位应严格执行《建设工程施工场地文明施工及环境管理暂行规定》，对地面污水的排放进行组织设计，严禁乱排和污染道路、环境等，严禁将施工污水散排。施工过程中产生的施工废水应进行收集、沉淀处理后用于场内洒水压尘。生活污水通过拉运至东城区污水处理厂处理后排入北二十里泡，达标后排放。</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（2）施工期大气污染防治措施</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为使施工过程中产生的粉尘和废气对周围环境空气的影响降低到最小程度，建议采取以下防护措施：</w:t>
            </w:r>
          </w:p>
          <w:p>
            <w:pPr>
              <w:spacing w:line="500" w:lineRule="exact"/>
              <w:ind w:firstLine="420" w:firstLineChars="200"/>
              <w:rPr>
                <w:rFonts w:ascii="Times New Roman" w:hAnsi="Times New Roman" w:cs="Times New Roman"/>
                <w:szCs w:val="21"/>
              </w:rPr>
            </w:pPr>
            <w:r>
              <w:rPr>
                <w:rFonts w:ascii="宋体" w:hAnsi="Times New Roman" w:eastAsia="宋体" w:cs="Times New Roman"/>
                <w:szCs w:val="21"/>
              </w:rPr>
              <w:t>①</w:t>
            </w:r>
            <w:r>
              <w:rPr>
                <w:rFonts w:ascii="Times New Roman" w:hAnsi="Times New Roman" w:cs="Times New Roman"/>
                <w:szCs w:val="21"/>
              </w:rPr>
              <w:t>在施工作业现场设置围挡。容易产生粉尘的施工过程应洒水作业，使作业面保持一定的湿度；回填土方时，在表层土质干燥时应适当洒水，防止粉尘飞扬；</w:t>
            </w:r>
          </w:p>
          <w:p>
            <w:pPr>
              <w:spacing w:line="500" w:lineRule="exact"/>
              <w:ind w:firstLine="420" w:firstLineChars="200"/>
              <w:rPr>
                <w:rFonts w:ascii="Times New Roman" w:hAnsi="Times New Roman" w:cs="Times New Roman"/>
                <w:szCs w:val="21"/>
              </w:rPr>
            </w:pPr>
            <w:r>
              <w:rPr>
                <w:rFonts w:ascii="宋体" w:hAnsi="Times New Roman" w:eastAsia="宋体" w:cs="Times New Roman"/>
                <w:szCs w:val="21"/>
              </w:rPr>
              <w:t>②</w:t>
            </w:r>
            <w:r>
              <w:rPr>
                <w:rFonts w:ascii="Times New Roman" w:hAnsi="Times New Roman" w:cs="Times New Roman"/>
                <w:szCs w:val="21"/>
              </w:rPr>
              <w:t>加强回填土方堆放场的管理，要制定土方表面压实、定期喷水、覆盖等措施；不需要的泥土，建筑材料弃渣应及时运走，不宜长时间堆积；</w:t>
            </w:r>
          </w:p>
          <w:p>
            <w:pPr>
              <w:spacing w:line="500" w:lineRule="exact"/>
              <w:ind w:firstLine="420" w:firstLineChars="200"/>
              <w:rPr>
                <w:rFonts w:ascii="Times New Roman" w:hAnsi="Times New Roman" w:cs="Times New Roman"/>
                <w:szCs w:val="21"/>
              </w:rPr>
            </w:pPr>
            <w:r>
              <w:rPr>
                <w:rFonts w:ascii="宋体" w:hAnsi="Times New Roman" w:eastAsia="宋体" w:cs="Times New Roman"/>
                <w:szCs w:val="21"/>
              </w:rPr>
              <w:t>③</w:t>
            </w:r>
            <w:r>
              <w:rPr>
                <w:rFonts w:ascii="Times New Roman" w:hAnsi="Times New Roman" w:cs="Times New Roman"/>
                <w:szCs w:val="21"/>
              </w:rPr>
              <w:t>应使用预拌混凝土。运输车辆装载不宜过满，保证运输过程中不散落；并规划好运输车辆的运行路线与时间，尽量避免在繁华区、交通集中区和居民区等敏感区行驶；</w:t>
            </w:r>
          </w:p>
          <w:p>
            <w:pPr>
              <w:spacing w:line="500" w:lineRule="exact"/>
              <w:ind w:firstLine="420" w:firstLineChars="200"/>
              <w:rPr>
                <w:rFonts w:ascii="Times New Roman" w:hAnsi="Times New Roman" w:cs="Times New Roman"/>
                <w:szCs w:val="21"/>
              </w:rPr>
            </w:pPr>
            <w:r>
              <w:rPr>
                <w:rFonts w:ascii="宋体" w:hAnsi="Times New Roman" w:eastAsia="宋体" w:cs="Times New Roman"/>
                <w:szCs w:val="21"/>
              </w:rPr>
              <w:t>④</w:t>
            </w:r>
            <w:r>
              <w:rPr>
                <w:rFonts w:ascii="Times New Roman" w:hAnsi="Times New Roman" w:cs="Times New Roman"/>
                <w:szCs w:val="21"/>
              </w:rPr>
              <w:t>运输车辆加蓬盖，且出装、卸场地前应先冲洗干净，减少车轮、底盘等携带泥土散落路面；</w:t>
            </w:r>
          </w:p>
          <w:p>
            <w:pPr>
              <w:spacing w:line="500" w:lineRule="exact"/>
              <w:ind w:firstLine="420" w:firstLineChars="200"/>
              <w:rPr>
                <w:rFonts w:ascii="Times New Roman" w:hAnsi="Times New Roman" w:cs="Times New Roman"/>
                <w:szCs w:val="21"/>
              </w:rPr>
            </w:pPr>
            <w:r>
              <w:rPr>
                <w:rFonts w:ascii="宋体" w:hAnsi="Times New Roman" w:eastAsia="宋体" w:cs="Times New Roman"/>
                <w:szCs w:val="21"/>
              </w:rPr>
              <w:t>⑤</w:t>
            </w:r>
            <w:r>
              <w:rPr>
                <w:rFonts w:ascii="Times New Roman" w:hAnsi="Times New Roman" w:cs="Times New Roman"/>
                <w:szCs w:val="21"/>
              </w:rPr>
              <w:t>对运输过程中散落在路面上的泥土要及时清扫，以减少运行过程中的扬尘。</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（3）施工期噪声防治措施</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施工噪声的防治主要是通过合理安排施工时间、距离防护、使用低噪声机械设备等措施来实施的。</w:t>
            </w:r>
          </w:p>
          <w:p>
            <w:pPr>
              <w:spacing w:line="500" w:lineRule="exact"/>
              <w:ind w:firstLine="420" w:firstLineChars="200"/>
              <w:rPr>
                <w:rFonts w:ascii="Times New Roman" w:hAnsi="Times New Roman" w:cs="Times New Roman"/>
                <w:szCs w:val="21"/>
              </w:rPr>
            </w:pPr>
            <w:r>
              <w:rPr>
                <w:rFonts w:ascii="宋体" w:hAnsi="Times New Roman" w:eastAsia="宋体" w:cs="Times New Roman"/>
                <w:szCs w:val="21"/>
              </w:rPr>
              <w:t>①</w:t>
            </w:r>
            <w:r>
              <w:rPr>
                <w:rFonts w:ascii="Times New Roman" w:hAnsi="Times New Roman" w:cs="Times New Roman"/>
                <w:szCs w:val="21"/>
              </w:rPr>
              <w:t>合理安排施工时间，可避免施工噪声扰民。</w:t>
            </w:r>
          </w:p>
          <w:p>
            <w:pPr>
              <w:spacing w:line="500" w:lineRule="exact"/>
              <w:ind w:firstLine="420" w:firstLineChars="200"/>
              <w:rPr>
                <w:rFonts w:ascii="Times New Roman" w:hAnsi="Times New Roman" w:cs="Times New Roman"/>
                <w:szCs w:val="21"/>
              </w:rPr>
            </w:pPr>
            <w:r>
              <w:rPr>
                <w:rFonts w:ascii="宋体" w:hAnsi="Times New Roman" w:eastAsia="宋体" w:cs="Times New Roman"/>
                <w:szCs w:val="21"/>
              </w:rPr>
              <w:t>②</w:t>
            </w:r>
            <w:r>
              <w:rPr>
                <w:rFonts w:ascii="Times New Roman" w:hAnsi="Times New Roman" w:cs="Times New Roman"/>
                <w:szCs w:val="21"/>
              </w:rPr>
              <w:t>选用低噪声机械、设备是从声源上对噪声进行控制，淘汰高噪声施工机械，推广使用低噪声的施工机械，产生噪声的施工设备加强维护和维修工作，对控制施工噪声的影响很有效，如液压机械较燃油机械平稳，噪声低10dB（A）以上。夜间22时至次日6时禁止施工。</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（4）施工期固体废物防治措施</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为减少弃土在堆放和运输过程中对环境的影响，建议采取如下措施：</w:t>
            </w:r>
          </w:p>
          <w:p>
            <w:pPr>
              <w:spacing w:line="500" w:lineRule="exact"/>
              <w:ind w:firstLine="420" w:firstLineChars="200"/>
              <w:rPr>
                <w:rFonts w:ascii="Times New Roman" w:hAnsi="Times New Roman" w:cs="Times New Roman"/>
                <w:szCs w:val="21"/>
              </w:rPr>
            </w:pPr>
            <w:r>
              <w:rPr>
                <w:rFonts w:ascii="宋体" w:hAnsi="Times New Roman" w:eastAsia="宋体" w:cs="Times New Roman"/>
                <w:szCs w:val="21"/>
              </w:rPr>
              <w:t>①</w:t>
            </w:r>
            <w:r>
              <w:rPr>
                <w:rFonts w:ascii="Times New Roman" w:hAnsi="Times New Roman" w:cs="Times New Roman"/>
                <w:szCs w:val="21"/>
              </w:rPr>
              <w:t>施工过程中产生的挖方用土可用于平整厂地，建筑废料则应在工程完工后回收有用的部分，其余部分不得随意丢弃，应集中收集统一运至当地政府指定地点。</w:t>
            </w:r>
          </w:p>
          <w:p>
            <w:pPr>
              <w:spacing w:line="500" w:lineRule="exact"/>
              <w:ind w:firstLine="420" w:firstLineChars="200"/>
              <w:rPr>
                <w:rFonts w:ascii="Times New Roman" w:hAnsi="Times New Roman" w:cs="Times New Roman"/>
                <w:szCs w:val="21"/>
              </w:rPr>
            </w:pPr>
            <w:r>
              <w:rPr>
                <w:rFonts w:ascii="宋体" w:hAnsi="Times New Roman" w:eastAsia="宋体" w:cs="Times New Roman"/>
                <w:szCs w:val="21"/>
              </w:rPr>
              <w:t>②</w:t>
            </w:r>
            <w:r>
              <w:rPr>
                <w:rFonts w:ascii="Times New Roman" w:hAnsi="Times New Roman" w:cs="Times New Roman"/>
                <w:szCs w:val="21"/>
              </w:rPr>
              <w:t>车辆运输散体物料和废弃物时，必须密闭、包扎、覆盖，不得沿途漏撒；运载土方的车辆必须在规定的时间内，按指定路段行驶。</w:t>
            </w:r>
          </w:p>
          <w:p>
            <w:pPr>
              <w:pStyle w:val="25"/>
              <w:spacing w:line="500" w:lineRule="exact"/>
              <w:ind w:firstLine="422" w:firstLineChars="200"/>
              <w:rPr>
                <w:rFonts w:hAnsi="Times New Roman" w:cs="Times New Roman"/>
                <w:b/>
              </w:rPr>
            </w:pPr>
            <w:r>
              <w:rPr>
                <w:rFonts w:hAnsi="Times New Roman" w:cs="Times New Roman"/>
                <w:b/>
              </w:rPr>
              <w:t>运营期：</w:t>
            </w:r>
          </w:p>
          <w:p>
            <w:pPr>
              <w:spacing w:line="500" w:lineRule="exact"/>
              <w:ind w:firstLine="420" w:firstLineChars="200"/>
              <w:rPr>
                <w:rFonts w:ascii="Times New Roman" w:hAnsi="Times New Roman" w:eastAsia="宋体" w:cs="Times New Roman"/>
                <w:szCs w:val="21"/>
              </w:rPr>
            </w:pPr>
            <w:bookmarkStart w:id="7" w:name="_Toc404063439"/>
            <w:bookmarkStart w:id="8" w:name="_Toc412884602"/>
            <w:r>
              <w:rPr>
                <w:rFonts w:ascii="Times New Roman" w:hAnsi="Times New Roman" w:eastAsia="宋体" w:cs="Times New Roman"/>
                <w:szCs w:val="21"/>
              </w:rPr>
              <w:t>1、废气</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本项目运营期产生的废气主要为粉尘、沥青烟、苯并[a]芘、加热炉烟气、燃气锅炉废气和食堂油烟。</w:t>
            </w:r>
            <w:bookmarkEnd w:id="7"/>
            <w:bookmarkEnd w:id="8"/>
          </w:p>
          <w:p>
            <w:pPr>
              <w:widowControl/>
              <w:adjustRightInd w:val="0"/>
              <w:snapToGrid w:val="0"/>
              <w:spacing w:line="500" w:lineRule="exact"/>
              <w:ind w:firstLine="442"/>
              <w:rPr>
                <w:rFonts w:ascii="Times New Roman" w:hAnsi="Times New Roman" w:eastAsia="黑体" w:cs="Times New Roman"/>
              </w:rPr>
            </w:pPr>
            <w:r>
              <w:rPr>
                <w:rFonts w:ascii="Times New Roman" w:hAnsi="Times New Roman" w:eastAsia="黑体" w:cs="Times New Roman"/>
              </w:rPr>
              <w:t>表3-1                     主要污染源及防治措施情况</w:t>
            </w:r>
          </w:p>
          <w:tbl>
            <w:tblPr>
              <w:tblStyle w:val="1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35"/>
              <w:gridCol w:w="1419"/>
              <w:gridCol w:w="1557"/>
              <w:gridCol w:w="1985"/>
              <w:gridCol w:w="297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626" w:type="pct"/>
                  <w:vAlign w:val="center"/>
                </w:tcPr>
                <w:p>
                  <w:pPr>
                    <w:pStyle w:val="26"/>
                    <w:spacing w:line="320" w:lineRule="exact"/>
                    <w:ind w:left="0" w:firstLine="0" w:firstLineChars="0"/>
                    <w:rPr>
                      <w:rFonts w:eastAsia="黑体" w:cs="Times New Roman"/>
                      <w:bCs w:val="0"/>
                      <w:kern w:val="0"/>
                      <w:sz w:val="21"/>
                      <w:szCs w:val="21"/>
                    </w:rPr>
                  </w:pPr>
                  <w:r>
                    <w:rPr>
                      <w:rFonts w:eastAsia="黑体" w:cs="Times New Roman"/>
                      <w:bCs w:val="0"/>
                      <w:kern w:val="0"/>
                      <w:sz w:val="21"/>
                      <w:szCs w:val="21"/>
                    </w:rPr>
                    <w:t>排放形式</w:t>
                  </w:r>
                </w:p>
              </w:tc>
              <w:tc>
                <w:tcPr>
                  <w:tcW w:w="782" w:type="pct"/>
                  <w:vAlign w:val="center"/>
                </w:tcPr>
                <w:p>
                  <w:pPr>
                    <w:pStyle w:val="26"/>
                    <w:spacing w:line="320" w:lineRule="exact"/>
                    <w:ind w:left="0" w:firstLine="210" w:firstLineChars="100"/>
                    <w:rPr>
                      <w:rFonts w:eastAsia="黑体" w:cs="Times New Roman"/>
                      <w:bCs w:val="0"/>
                      <w:kern w:val="0"/>
                      <w:sz w:val="21"/>
                      <w:szCs w:val="21"/>
                    </w:rPr>
                  </w:pPr>
                  <w:r>
                    <w:rPr>
                      <w:rFonts w:eastAsia="黑体" w:cs="Times New Roman"/>
                      <w:bCs w:val="0"/>
                      <w:kern w:val="0"/>
                      <w:sz w:val="21"/>
                      <w:szCs w:val="21"/>
                    </w:rPr>
                    <w:t>污染工序</w:t>
                  </w:r>
                </w:p>
              </w:tc>
              <w:tc>
                <w:tcPr>
                  <w:tcW w:w="858" w:type="pct"/>
                  <w:vAlign w:val="center"/>
                </w:tcPr>
                <w:p>
                  <w:pPr>
                    <w:pStyle w:val="26"/>
                    <w:spacing w:line="320" w:lineRule="exact"/>
                    <w:ind w:left="0" w:firstLine="0" w:firstLineChars="0"/>
                    <w:jc w:val="center"/>
                    <w:rPr>
                      <w:rFonts w:eastAsia="黑体" w:cs="Times New Roman"/>
                      <w:bCs w:val="0"/>
                      <w:kern w:val="0"/>
                      <w:sz w:val="21"/>
                      <w:szCs w:val="21"/>
                    </w:rPr>
                  </w:pPr>
                  <w:r>
                    <w:rPr>
                      <w:rFonts w:eastAsia="黑体" w:cs="Times New Roman"/>
                      <w:bCs w:val="0"/>
                      <w:kern w:val="0"/>
                      <w:sz w:val="21"/>
                      <w:szCs w:val="21"/>
                    </w:rPr>
                    <w:t>污染物项目</w:t>
                  </w:r>
                </w:p>
              </w:tc>
              <w:tc>
                <w:tcPr>
                  <w:tcW w:w="1094" w:type="pct"/>
                  <w:vAlign w:val="center"/>
                </w:tcPr>
                <w:p>
                  <w:pPr>
                    <w:pStyle w:val="26"/>
                    <w:spacing w:line="320" w:lineRule="exact"/>
                    <w:ind w:left="0" w:firstLine="0" w:firstLineChars="0"/>
                    <w:jc w:val="center"/>
                    <w:rPr>
                      <w:rFonts w:eastAsia="黑体" w:cs="Times New Roman"/>
                      <w:bCs w:val="0"/>
                      <w:kern w:val="0"/>
                      <w:sz w:val="21"/>
                      <w:szCs w:val="21"/>
                    </w:rPr>
                  </w:pPr>
                  <w:r>
                    <w:rPr>
                      <w:rFonts w:eastAsia="黑体" w:cs="Times New Roman"/>
                      <w:bCs w:val="0"/>
                      <w:kern w:val="0"/>
                      <w:sz w:val="21"/>
                      <w:szCs w:val="21"/>
                    </w:rPr>
                    <w:t>环保措施</w:t>
                  </w:r>
                </w:p>
              </w:tc>
              <w:tc>
                <w:tcPr>
                  <w:tcW w:w="1640" w:type="pct"/>
                  <w:vAlign w:val="center"/>
                </w:tcPr>
                <w:p>
                  <w:pPr>
                    <w:pStyle w:val="26"/>
                    <w:spacing w:line="320" w:lineRule="exact"/>
                    <w:ind w:left="0" w:firstLine="0" w:firstLineChars="0"/>
                    <w:jc w:val="center"/>
                    <w:rPr>
                      <w:rFonts w:eastAsia="黑体" w:cs="Times New Roman"/>
                      <w:bCs w:val="0"/>
                      <w:kern w:val="0"/>
                      <w:sz w:val="21"/>
                      <w:szCs w:val="21"/>
                    </w:rPr>
                  </w:pPr>
                  <w:r>
                    <w:rPr>
                      <w:rFonts w:eastAsia="黑体" w:cs="Times New Roman"/>
                      <w:bCs w:val="0"/>
                      <w:kern w:val="0"/>
                      <w:sz w:val="21"/>
                      <w:szCs w:val="21"/>
                    </w:rPr>
                    <w:t>排放标准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626" w:type="pct"/>
                  <w:vMerge w:val="restar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有组织</w:t>
                  </w:r>
                </w:p>
              </w:tc>
              <w:tc>
                <w:tcPr>
                  <w:tcW w:w="782" w:type="pct"/>
                  <w:vMerge w:val="restar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rPr>
                    <w:t>供暖锅炉</w:t>
                  </w:r>
                </w:p>
              </w:tc>
              <w:tc>
                <w:tcPr>
                  <w:tcW w:w="858"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二氧化硫</w:t>
                  </w:r>
                </w:p>
              </w:tc>
              <w:tc>
                <w:tcPr>
                  <w:tcW w:w="1094" w:type="pct"/>
                  <w:vMerge w:val="restar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15m高排气筒</w:t>
                  </w:r>
                </w:p>
              </w:tc>
              <w:tc>
                <w:tcPr>
                  <w:tcW w:w="1640" w:type="pct"/>
                  <w:vMerge w:val="restart"/>
                  <w:vAlign w:val="center"/>
                </w:tcPr>
                <w:p>
                  <w:pPr>
                    <w:snapToGrid w:val="0"/>
                    <w:spacing w:line="320" w:lineRule="exact"/>
                    <w:jc w:val="center"/>
                    <w:rPr>
                      <w:rFonts w:ascii="Times New Roman" w:hAnsi="Times New Roman" w:cs="Times New Roman"/>
                      <w:b/>
                      <w:bCs/>
                      <w:szCs w:val="21"/>
                    </w:rPr>
                  </w:pPr>
                  <w:r>
                    <w:rPr>
                      <w:rFonts w:ascii="Times New Roman" w:hAnsi="Times New Roman" w:cs="Times New Roman"/>
                      <w:szCs w:val="21"/>
                    </w:rPr>
                    <w:t>《锅炉大气污染物排放标准》（GB13271-2014）表2燃气锅炉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626" w:type="pct"/>
                  <w:vMerge w:val="continue"/>
                  <w:vAlign w:val="center"/>
                </w:tcPr>
                <w:p>
                  <w:pPr>
                    <w:snapToGrid w:val="0"/>
                    <w:spacing w:line="320" w:lineRule="exact"/>
                    <w:jc w:val="center"/>
                    <w:rPr>
                      <w:rFonts w:ascii="Times New Roman" w:hAnsi="Times New Roman" w:cs="Times New Roman"/>
                      <w:szCs w:val="21"/>
                    </w:rPr>
                  </w:pPr>
                </w:p>
              </w:tc>
              <w:tc>
                <w:tcPr>
                  <w:tcW w:w="782" w:type="pct"/>
                  <w:vMerge w:val="continue"/>
                  <w:vAlign w:val="center"/>
                </w:tcPr>
                <w:p>
                  <w:pPr>
                    <w:snapToGrid w:val="0"/>
                    <w:spacing w:line="320" w:lineRule="exact"/>
                    <w:jc w:val="center"/>
                    <w:rPr>
                      <w:rFonts w:ascii="Times New Roman" w:hAnsi="Times New Roman" w:cs="Times New Roman"/>
                      <w:szCs w:val="21"/>
                    </w:rPr>
                  </w:pPr>
                </w:p>
              </w:tc>
              <w:tc>
                <w:tcPr>
                  <w:tcW w:w="858"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氮氧化物</w:t>
                  </w:r>
                </w:p>
              </w:tc>
              <w:tc>
                <w:tcPr>
                  <w:tcW w:w="1094" w:type="pct"/>
                  <w:vMerge w:val="continue"/>
                  <w:vAlign w:val="center"/>
                </w:tcPr>
                <w:p>
                  <w:pPr>
                    <w:snapToGrid w:val="0"/>
                    <w:spacing w:line="320" w:lineRule="exact"/>
                    <w:jc w:val="center"/>
                    <w:rPr>
                      <w:rFonts w:ascii="Times New Roman" w:hAnsi="Times New Roman" w:cs="Times New Roman"/>
                      <w:szCs w:val="21"/>
                    </w:rPr>
                  </w:pPr>
                </w:p>
              </w:tc>
              <w:tc>
                <w:tcPr>
                  <w:tcW w:w="1640" w:type="pct"/>
                  <w:vMerge w:val="continue"/>
                  <w:vAlign w:val="center"/>
                </w:tcPr>
                <w:p>
                  <w:pPr>
                    <w:snapToGrid w:val="0"/>
                    <w:spacing w:line="320" w:lineRule="exact"/>
                    <w:jc w:val="center"/>
                    <w:rPr>
                      <w:rFonts w:ascii="Times New Roman" w:hAnsi="Times New Roman" w:cs="Times New Roman"/>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626" w:type="pct"/>
                  <w:vMerge w:val="continue"/>
                  <w:vAlign w:val="center"/>
                </w:tcPr>
                <w:p>
                  <w:pPr>
                    <w:snapToGrid w:val="0"/>
                    <w:spacing w:line="320" w:lineRule="exact"/>
                    <w:jc w:val="center"/>
                    <w:rPr>
                      <w:rFonts w:ascii="Times New Roman" w:hAnsi="Times New Roman" w:cs="Times New Roman"/>
                      <w:szCs w:val="21"/>
                    </w:rPr>
                  </w:pPr>
                </w:p>
              </w:tc>
              <w:tc>
                <w:tcPr>
                  <w:tcW w:w="782" w:type="pct"/>
                  <w:vMerge w:val="continue"/>
                  <w:vAlign w:val="center"/>
                </w:tcPr>
                <w:p>
                  <w:pPr>
                    <w:snapToGrid w:val="0"/>
                    <w:spacing w:line="320" w:lineRule="exact"/>
                    <w:jc w:val="center"/>
                    <w:rPr>
                      <w:rFonts w:ascii="Times New Roman" w:hAnsi="Times New Roman" w:cs="Times New Roman"/>
                      <w:szCs w:val="21"/>
                    </w:rPr>
                  </w:pPr>
                </w:p>
              </w:tc>
              <w:tc>
                <w:tcPr>
                  <w:tcW w:w="858"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颗粒物</w:t>
                  </w:r>
                </w:p>
              </w:tc>
              <w:tc>
                <w:tcPr>
                  <w:tcW w:w="1094" w:type="pct"/>
                  <w:vMerge w:val="continue"/>
                  <w:vAlign w:val="center"/>
                </w:tcPr>
                <w:p>
                  <w:pPr>
                    <w:snapToGrid w:val="0"/>
                    <w:spacing w:line="320" w:lineRule="exact"/>
                    <w:jc w:val="center"/>
                    <w:rPr>
                      <w:rFonts w:ascii="Times New Roman" w:hAnsi="Times New Roman" w:cs="Times New Roman"/>
                      <w:szCs w:val="21"/>
                    </w:rPr>
                  </w:pPr>
                </w:p>
              </w:tc>
              <w:tc>
                <w:tcPr>
                  <w:tcW w:w="1640" w:type="pct"/>
                  <w:vMerge w:val="continue"/>
                  <w:vAlign w:val="center"/>
                </w:tcPr>
                <w:p>
                  <w:pPr>
                    <w:snapToGrid w:val="0"/>
                    <w:spacing w:line="320" w:lineRule="exact"/>
                    <w:jc w:val="center"/>
                    <w:rPr>
                      <w:rFonts w:ascii="Times New Roman" w:hAnsi="Times New Roman" w:cs="Times New Roman"/>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626" w:type="pct"/>
                  <w:vMerge w:val="continue"/>
                  <w:vAlign w:val="center"/>
                </w:tcPr>
                <w:p>
                  <w:pPr>
                    <w:snapToGrid w:val="0"/>
                    <w:spacing w:line="320" w:lineRule="exact"/>
                    <w:jc w:val="center"/>
                    <w:rPr>
                      <w:rFonts w:ascii="Times New Roman" w:hAnsi="Times New Roman" w:cs="Times New Roman"/>
                      <w:szCs w:val="21"/>
                    </w:rPr>
                  </w:pPr>
                </w:p>
              </w:tc>
              <w:tc>
                <w:tcPr>
                  <w:tcW w:w="782" w:type="pct"/>
                  <w:vMerge w:val="continue"/>
                  <w:vAlign w:val="center"/>
                </w:tcPr>
                <w:p>
                  <w:pPr>
                    <w:snapToGrid w:val="0"/>
                    <w:spacing w:line="320" w:lineRule="exact"/>
                    <w:jc w:val="center"/>
                    <w:rPr>
                      <w:rFonts w:ascii="Times New Roman" w:hAnsi="Times New Roman" w:cs="Times New Roman"/>
                      <w:szCs w:val="21"/>
                    </w:rPr>
                  </w:pPr>
                </w:p>
              </w:tc>
              <w:tc>
                <w:tcPr>
                  <w:tcW w:w="858"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烟气黑度</w:t>
                  </w:r>
                </w:p>
              </w:tc>
              <w:tc>
                <w:tcPr>
                  <w:tcW w:w="1094" w:type="pct"/>
                  <w:vMerge w:val="continue"/>
                  <w:vAlign w:val="center"/>
                </w:tcPr>
                <w:p>
                  <w:pPr>
                    <w:snapToGrid w:val="0"/>
                    <w:spacing w:line="320" w:lineRule="exact"/>
                    <w:jc w:val="center"/>
                    <w:rPr>
                      <w:rFonts w:ascii="Times New Roman" w:hAnsi="Times New Roman" w:cs="Times New Roman"/>
                      <w:szCs w:val="21"/>
                    </w:rPr>
                  </w:pPr>
                </w:p>
              </w:tc>
              <w:tc>
                <w:tcPr>
                  <w:tcW w:w="1640" w:type="pct"/>
                  <w:vMerge w:val="continue"/>
                  <w:vAlign w:val="center"/>
                </w:tcPr>
                <w:p>
                  <w:pPr>
                    <w:snapToGrid w:val="0"/>
                    <w:spacing w:line="320" w:lineRule="exact"/>
                    <w:jc w:val="center"/>
                    <w:rPr>
                      <w:rFonts w:ascii="Times New Roman" w:hAnsi="Times New Roman" w:cs="Times New Roman"/>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626" w:type="pct"/>
                  <w:vMerge w:val="continue"/>
                  <w:vAlign w:val="center"/>
                </w:tcPr>
                <w:p>
                  <w:pPr>
                    <w:snapToGrid w:val="0"/>
                    <w:spacing w:line="320" w:lineRule="exact"/>
                    <w:jc w:val="center"/>
                    <w:rPr>
                      <w:rFonts w:ascii="Times New Roman" w:hAnsi="Times New Roman" w:cs="Times New Roman"/>
                      <w:szCs w:val="21"/>
                    </w:rPr>
                  </w:pPr>
                </w:p>
              </w:tc>
              <w:tc>
                <w:tcPr>
                  <w:tcW w:w="782" w:type="pct"/>
                  <w:vMerge w:val="restar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沥青搅拌</w:t>
                  </w:r>
                </w:p>
              </w:tc>
              <w:tc>
                <w:tcPr>
                  <w:tcW w:w="858"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沥青烟</w:t>
                  </w:r>
                </w:p>
              </w:tc>
              <w:tc>
                <w:tcPr>
                  <w:tcW w:w="1094" w:type="pct"/>
                  <w:vMerge w:val="restart"/>
                  <w:vAlign w:val="center"/>
                </w:tcPr>
                <w:p>
                  <w:pPr>
                    <w:snapToGrid w:val="0"/>
                    <w:spacing w:line="320" w:lineRule="exact"/>
                    <w:jc w:val="center"/>
                    <w:rPr>
                      <w:rFonts w:ascii="Times New Roman" w:hAnsi="Times New Roman" w:cs="Times New Roman"/>
                      <w:szCs w:val="21"/>
                    </w:rPr>
                  </w:pPr>
                  <w:r>
                    <w:rPr>
                      <w:rFonts w:hint="eastAsia" w:ascii="Times New Roman" w:hAnsi="Times New Roman" w:cs="Times New Roman"/>
                      <w:kern w:val="0"/>
                      <w:szCs w:val="21"/>
                    </w:rPr>
                    <w:t>喷淋塔+</w:t>
                  </w:r>
                  <w:r>
                    <w:rPr>
                      <w:rFonts w:ascii="Times New Roman" w:hAnsi="Times New Roman" w:cs="Times New Roman"/>
                      <w:kern w:val="0"/>
                      <w:szCs w:val="21"/>
                    </w:rPr>
                    <w:t>动离除雾设备+光氧催化设备+活性炭吸附装置+15m高排气筒</w:t>
                  </w:r>
                </w:p>
              </w:tc>
              <w:tc>
                <w:tcPr>
                  <w:tcW w:w="1640" w:type="pct"/>
                  <w:vMerge w:val="restar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《大气污染物综合排放标准》（GB16297-1996）表2</w:t>
                  </w:r>
                  <w:r>
                    <w:rPr>
                      <w:rFonts w:hint="eastAsia" w:ascii="Times New Roman" w:hAnsi="Times New Roman" w:cs="Times New Roman"/>
                      <w:szCs w:val="21"/>
                    </w:rPr>
                    <w:t>标准限值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626" w:type="pct"/>
                  <w:vMerge w:val="continue"/>
                  <w:vAlign w:val="center"/>
                </w:tcPr>
                <w:p>
                  <w:pPr>
                    <w:snapToGrid w:val="0"/>
                    <w:spacing w:line="320" w:lineRule="exact"/>
                    <w:jc w:val="center"/>
                    <w:rPr>
                      <w:rFonts w:ascii="Times New Roman" w:hAnsi="Times New Roman" w:cs="Times New Roman"/>
                      <w:szCs w:val="21"/>
                    </w:rPr>
                  </w:pPr>
                </w:p>
              </w:tc>
              <w:tc>
                <w:tcPr>
                  <w:tcW w:w="782" w:type="pct"/>
                  <w:vMerge w:val="continue"/>
                  <w:vAlign w:val="center"/>
                </w:tcPr>
                <w:p>
                  <w:pPr>
                    <w:snapToGrid w:val="0"/>
                    <w:spacing w:line="320" w:lineRule="exact"/>
                    <w:jc w:val="center"/>
                    <w:rPr>
                      <w:rFonts w:ascii="Times New Roman" w:hAnsi="Times New Roman" w:cs="Times New Roman"/>
                      <w:szCs w:val="21"/>
                    </w:rPr>
                  </w:pPr>
                </w:p>
              </w:tc>
              <w:tc>
                <w:tcPr>
                  <w:tcW w:w="858"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颗粒物</w:t>
                  </w:r>
                </w:p>
              </w:tc>
              <w:tc>
                <w:tcPr>
                  <w:tcW w:w="1094" w:type="pct"/>
                  <w:vMerge w:val="continue"/>
                </w:tcPr>
                <w:p>
                  <w:pPr>
                    <w:snapToGrid w:val="0"/>
                    <w:spacing w:line="320" w:lineRule="exact"/>
                    <w:jc w:val="center"/>
                    <w:rPr>
                      <w:rFonts w:hint="eastAsia" w:ascii="Times New Roman" w:hAnsi="Times New Roman" w:cs="Times New Roman"/>
                      <w:kern w:val="0"/>
                      <w:szCs w:val="21"/>
                    </w:rPr>
                  </w:pPr>
                </w:p>
              </w:tc>
              <w:tc>
                <w:tcPr>
                  <w:tcW w:w="1640" w:type="pct"/>
                  <w:vMerge w:val="continue"/>
                  <w:vAlign w:val="center"/>
                </w:tcPr>
                <w:p>
                  <w:pPr>
                    <w:snapToGrid w:val="0"/>
                    <w:spacing w:line="320" w:lineRule="exact"/>
                    <w:jc w:val="center"/>
                    <w:rPr>
                      <w:rFonts w:ascii="Times New Roman" w:hAnsi="Times New Roman" w:cs="Times New Roman"/>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626" w:type="pct"/>
                  <w:vMerge w:val="continue"/>
                  <w:vAlign w:val="center"/>
                </w:tcPr>
                <w:p>
                  <w:pPr>
                    <w:snapToGrid w:val="0"/>
                    <w:spacing w:line="320" w:lineRule="exact"/>
                    <w:jc w:val="center"/>
                    <w:rPr>
                      <w:rFonts w:ascii="Times New Roman" w:hAnsi="Times New Roman" w:cs="Times New Roman"/>
                      <w:szCs w:val="21"/>
                    </w:rPr>
                  </w:pPr>
                </w:p>
              </w:tc>
              <w:tc>
                <w:tcPr>
                  <w:tcW w:w="782" w:type="pct"/>
                  <w:vMerge w:val="continue"/>
                  <w:vAlign w:val="center"/>
                </w:tcPr>
                <w:p>
                  <w:pPr>
                    <w:snapToGrid w:val="0"/>
                    <w:spacing w:line="320" w:lineRule="exact"/>
                    <w:jc w:val="center"/>
                    <w:rPr>
                      <w:rFonts w:ascii="Times New Roman" w:hAnsi="Times New Roman" w:cs="Times New Roman"/>
                      <w:szCs w:val="21"/>
                    </w:rPr>
                  </w:pPr>
                </w:p>
              </w:tc>
              <w:tc>
                <w:tcPr>
                  <w:tcW w:w="858"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苯并芘</w:t>
                  </w:r>
                </w:p>
              </w:tc>
              <w:tc>
                <w:tcPr>
                  <w:tcW w:w="1094" w:type="pct"/>
                  <w:vMerge w:val="continue"/>
                </w:tcPr>
                <w:p>
                  <w:pPr>
                    <w:snapToGrid w:val="0"/>
                    <w:spacing w:line="320" w:lineRule="exact"/>
                    <w:jc w:val="center"/>
                    <w:rPr>
                      <w:rFonts w:ascii="Times New Roman" w:hAnsi="Times New Roman" w:cs="Times New Roman"/>
                      <w:szCs w:val="21"/>
                    </w:rPr>
                  </w:pPr>
                </w:p>
              </w:tc>
              <w:tc>
                <w:tcPr>
                  <w:tcW w:w="1640" w:type="pct"/>
                  <w:vMerge w:val="continue"/>
                  <w:vAlign w:val="center"/>
                </w:tcPr>
                <w:p>
                  <w:pPr>
                    <w:snapToGrid w:val="0"/>
                    <w:spacing w:line="320" w:lineRule="exact"/>
                    <w:jc w:val="center"/>
                    <w:rPr>
                      <w:rFonts w:ascii="Times New Roman" w:hAnsi="Times New Roman" w:cs="Times New Roman"/>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626" w:type="pct"/>
                  <w:vMerge w:val="continue"/>
                  <w:vAlign w:val="center"/>
                </w:tcPr>
                <w:p>
                  <w:pPr>
                    <w:snapToGrid w:val="0"/>
                    <w:spacing w:line="320" w:lineRule="exact"/>
                    <w:jc w:val="center"/>
                    <w:rPr>
                      <w:rFonts w:ascii="Times New Roman" w:hAnsi="Times New Roman" w:cs="Times New Roman"/>
                      <w:szCs w:val="21"/>
                    </w:rPr>
                  </w:pPr>
                </w:p>
              </w:tc>
              <w:tc>
                <w:tcPr>
                  <w:tcW w:w="782" w:type="pct"/>
                  <w:vMerge w:val="restar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加热炉</w:t>
                  </w:r>
                </w:p>
                <w:p>
                  <w:pPr>
                    <w:snapToGrid w:val="0"/>
                    <w:spacing w:line="320" w:lineRule="exact"/>
                    <w:jc w:val="center"/>
                    <w:rPr>
                      <w:rFonts w:ascii="Times New Roman" w:hAnsi="Times New Roman" w:cs="Times New Roman"/>
                      <w:szCs w:val="21"/>
                    </w:rPr>
                  </w:pPr>
                  <w:r>
                    <w:rPr>
                      <w:rFonts w:ascii="Times New Roman" w:hAnsi="Times New Roman" w:cs="Times New Roman"/>
                      <w:szCs w:val="21"/>
                    </w:rPr>
                    <w:t>（燃烧器）</w:t>
                  </w:r>
                </w:p>
              </w:tc>
              <w:tc>
                <w:tcPr>
                  <w:tcW w:w="858"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二氧化硫</w:t>
                  </w:r>
                </w:p>
              </w:tc>
              <w:tc>
                <w:tcPr>
                  <w:tcW w:w="1094" w:type="pct"/>
                  <w:vMerge w:val="restar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20m高排气筒</w:t>
                  </w:r>
                </w:p>
              </w:tc>
              <w:tc>
                <w:tcPr>
                  <w:tcW w:w="1640" w:type="pct"/>
                  <w:vMerge w:val="restar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《锅炉大气污染物排放标准》（GB13271-2014）表2燃气锅炉</w:t>
                  </w:r>
                  <w:r>
                    <w:rPr>
                      <w:rFonts w:hint="eastAsia" w:ascii="Times New Roman" w:hAnsi="Times New Roman" w:cs="Times New Roman"/>
                      <w:szCs w:val="21"/>
                    </w:rPr>
                    <w:t>标准限值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626" w:type="pct"/>
                  <w:vMerge w:val="continue"/>
                  <w:vAlign w:val="center"/>
                </w:tcPr>
                <w:p>
                  <w:pPr>
                    <w:snapToGrid w:val="0"/>
                    <w:spacing w:line="320" w:lineRule="exact"/>
                    <w:jc w:val="center"/>
                    <w:rPr>
                      <w:rFonts w:ascii="Times New Roman" w:hAnsi="Times New Roman" w:cs="Times New Roman"/>
                      <w:szCs w:val="21"/>
                    </w:rPr>
                  </w:pPr>
                </w:p>
              </w:tc>
              <w:tc>
                <w:tcPr>
                  <w:tcW w:w="782" w:type="pct"/>
                  <w:vMerge w:val="continue"/>
                  <w:vAlign w:val="center"/>
                </w:tcPr>
                <w:p>
                  <w:pPr>
                    <w:snapToGrid w:val="0"/>
                    <w:spacing w:line="320" w:lineRule="exact"/>
                    <w:jc w:val="center"/>
                    <w:rPr>
                      <w:rFonts w:ascii="Times New Roman" w:hAnsi="Times New Roman" w:cs="Times New Roman"/>
                      <w:szCs w:val="21"/>
                    </w:rPr>
                  </w:pPr>
                </w:p>
              </w:tc>
              <w:tc>
                <w:tcPr>
                  <w:tcW w:w="858"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氮氧化物</w:t>
                  </w:r>
                </w:p>
              </w:tc>
              <w:tc>
                <w:tcPr>
                  <w:tcW w:w="1094" w:type="pct"/>
                  <w:vMerge w:val="continue"/>
                  <w:vAlign w:val="center"/>
                </w:tcPr>
                <w:p>
                  <w:pPr>
                    <w:snapToGrid w:val="0"/>
                    <w:spacing w:line="320" w:lineRule="exact"/>
                    <w:jc w:val="center"/>
                    <w:rPr>
                      <w:rFonts w:ascii="Times New Roman" w:hAnsi="Times New Roman" w:cs="Times New Roman"/>
                      <w:szCs w:val="21"/>
                    </w:rPr>
                  </w:pPr>
                </w:p>
              </w:tc>
              <w:tc>
                <w:tcPr>
                  <w:tcW w:w="1640" w:type="pct"/>
                  <w:vMerge w:val="continue"/>
                  <w:vAlign w:val="center"/>
                </w:tcPr>
                <w:p>
                  <w:pPr>
                    <w:snapToGrid w:val="0"/>
                    <w:spacing w:line="320" w:lineRule="exact"/>
                    <w:jc w:val="center"/>
                    <w:rPr>
                      <w:rFonts w:ascii="Times New Roman" w:hAnsi="Times New Roman" w:cs="Times New Roman"/>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626" w:type="pct"/>
                  <w:vMerge w:val="continue"/>
                  <w:vAlign w:val="center"/>
                </w:tcPr>
                <w:p>
                  <w:pPr>
                    <w:snapToGrid w:val="0"/>
                    <w:spacing w:line="320" w:lineRule="exact"/>
                    <w:jc w:val="center"/>
                    <w:rPr>
                      <w:rFonts w:ascii="Times New Roman" w:hAnsi="Times New Roman" w:cs="Times New Roman"/>
                      <w:szCs w:val="21"/>
                    </w:rPr>
                  </w:pPr>
                </w:p>
              </w:tc>
              <w:tc>
                <w:tcPr>
                  <w:tcW w:w="782" w:type="pct"/>
                  <w:vMerge w:val="continue"/>
                  <w:vAlign w:val="center"/>
                </w:tcPr>
                <w:p>
                  <w:pPr>
                    <w:snapToGrid w:val="0"/>
                    <w:spacing w:line="320" w:lineRule="exact"/>
                    <w:jc w:val="center"/>
                    <w:rPr>
                      <w:rFonts w:ascii="Times New Roman" w:hAnsi="Times New Roman" w:cs="Times New Roman"/>
                      <w:szCs w:val="21"/>
                    </w:rPr>
                  </w:pPr>
                </w:p>
              </w:tc>
              <w:tc>
                <w:tcPr>
                  <w:tcW w:w="858"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颗粒物</w:t>
                  </w:r>
                </w:p>
              </w:tc>
              <w:tc>
                <w:tcPr>
                  <w:tcW w:w="1094" w:type="pct"/>
                  <w:vMerge w:val="continue"/>
                  <w:vAlign w:val="center"/>
                </w:tcPr>
                <w:p>
                  <w:pPr>
                    <w:snapToGrid w:val="0"/>
                    <w:spacing w:line="320" w:lineRule="exact"/>
                    <w:jc w:val="center"/>
                    <w:rPr>
                      <w:rFonts w:ascii="Times New Roman" w:hAnsi="Times New Roman" w:cs="Times New Roman"/>
                      <w:szCs w:val="21"/>
                    </w:rPr>
                  </w:pPr>
                </w:p>
              </w:tc>
              <w:tc>
                <w:tcPr>
                  <w:tcW w:w="1640" w:type="pct"/>
                  <w:vMerge w:val="continue"/>
                  <w:vAlign w:val="center"/>
                </w:tcPr>
                <w:p>
                  <w:pPr>
                    <w:snapToGrid w:val="0"/>
                    <w:spacing w:line="320" w:lineRule="exact"/>
                    <w:jc w:val="center"/>
                    <w:rPr>
                      <w:rFonts w:ascii="Times New Roman" w:hAnsi="Times New Roman" w:cs="Times New Roman"/>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626" w:type="pct"/>
                  <w:vMerge w:val="continue"/>
                  <w:vAlign w:val="center"/>
                </w:tcPr>
                <w:p>
                  <w:pPr>
                    <w:snapToGrid w:val="0"/>
                    <w:spacing w:line="320" w:lineRule="exact"/>
                    <w:jc w:val="center"/>
                    <w:rPr>
                      <w:rFonts w:ascii="Times New Roman" w:hAnsi="Times New Roman" w:cs="Times New Roman"/>
                      <w:szCs w:val="21"/>
                    </w:rPr>
                  </w:pPr>
                </w:p>
              </w:tc>
              <w:tc>
                <w:tcPr>
                  <w:tcW w:w="782"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干燥筒</w:t>
                  </w:r>
                </w:p>
              </w:tc>
              <w:tc>
                <w:tcPr>
                  <w:tcW w:w="858"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颗粒物</w:t>
                  </w:r>
                </w:p>
              </w:tc>
              <w:tc>
                <w:tcPr>
                  <w:tcW w:w="1094"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布袋除尘+15m高排气筒</w:t>
                  </w:r>
                </w:p>
              </w:tc>
              <w:tc>
                <w:tcPr>
                  <w:tcW w:w="1640"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《大气污染物综合排放标准》（GB16297-1996）表2</w:t>
                  </w:r>
                  <w:r>
                    <w:rPr>
                      <w:rFonts w:hint="eastAsia" w:ascii="Times New Roman" w:hAnsi="Times New Roman" w:cs="Times New Roman"/>
                      <w:szCs w:val="21"/>
                    </w:rPr>
                    <w:t>标准限值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626" w:type="pct"/>
                  <w:vMerge w:val="continue"/>
                  <w:vAlign w:val="center"/>
                </w:tcPr>
                <w:p>
                  <w:pPr>
                    <w:snapToGrid w:val="0"/>
                    <w:spacing w:line="320" w:lineRule="exact"/>
                    <w:jc w:val="center"/>
                    <w:rPr>
                      <w:rFonts w:ascii="Times New Roman" w:hAnsi="Times New Roman" w:cs="Times New Roman"/>
                      <w:szCs w:val="21"/>
                    </w:rPr>
                  </w:pPr>
                </w:p>
              </w:tc>
              <w:tc>
                <w:tcPr>
                  <w:tcW w:w="782" w:type="pct"/>
                  <w:vMerge w:val="restar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生产锅炉（导热油炉）</w:t>
                  </w:r>
                </w:p>
              </w:tc>
              <w:tc>
                <w:tcPr>
                  <w:tcW w:w="858"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二氧化硫</w:t>
                  </w:r>
                </w:p>
              </w:tc>
              <w:tc>
                <w:tcPr>
                  <w:tcW w:w="1094" w:type="pct"/>
                  <w:vMerge w:val="restar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20m高排气筒</w:t>
                  </w:r>
                </w:p>
              </w:tc>
              <w:tc>
                <w:tcPr>
                  <w:tcW w:w="1640" w:type="pct"/>
                  <w:vMerge w:val="restar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《锅炉大气污染物排放标准》（GB13271-2014）表2燃气锅炉</w:t>
                  </w:r>
                  <w:r>
                    <w:rPr>
                      <w:rFonts w:hint="eastAsia" w:ascii="Times New Roman" w:hAnsi="Times New Roman" w:cs="Times New Roman"/>
                      <w:szCs w:val="21"/>
                    </w:rPr>
                    <w:t>标准限值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626" w:type="pct"/>
                  <w:vMerge w:val="continue"/>
                  <w:vAlign w:val="center"/>
                </w:tcPr>
                <w:p>
                  <w:pPr>
                    <w:snapToGrid w:val="0"/>
                    <w:spacing w:line="320" w:lineRule="exact"/>
                    <w:jc w:val="center"/>
                    <w:rPr>
                      <w:rFonts w:ascii="Times New Roman" w:hAnsi="Times New Roman" w:cs="Times New Roman"/>
                      <w:szCs w:val="21"/>
                    </w:rPr>
                  </w:pPr>
                </w:p>
              </w:tc>
              <w:tc>
                <w:tcPr>
                  <w:tcW w:w="782" w:type="pct"/>
                  <w:vMerge w:val="continue"/>
                  <w:vAlign w:val="center"/>
                </w:tcPr>
                <w:p>
                  <w:pPr>
                    <w:snapToGrid w:val="0"/>
                    <w:spacing w:line="320" w:lineRule="exact"/>
                    <w:jc w:val="center"/>
                    <w:rPr>
                      <w:rFonts w:ascii="Times New Roman" w:hAnsi="Times New Roman" w:cs="Times New Roman"/>
                      <w:szCs w:val="21"/>
                    </w:rPr>
                  </w:pPr>
                </w:p>
              </w:tc>
              <w:tc>
                <w:tcPr>
                  <w:tcW w:w="858"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氮氧化物</w:t>
                  </w:r>
                </w:p>
              </w:tc>
              <w:tc>
                <w:tcPr>
                  <w:tcW w:w="1094" w:type="pct"/>
                  <w:vMerge w:val="continue"/>
                  <w:vAlign w:val="center"/>
                </w:tcPr>
                <w:p>
                  <w:pPr>
                    <w:snapToGrid w:val="0"/>
                    <w:spacing w:line="320" w:lineRule="exact"/>
                    <w:jc w:val="center"/>
                    <w:rPr>
                      <w:rFonts w:ascii="Times New Roman" w:hAnsi="Times New Roman" w:cs="Times New Roman"/>
                      <w:szCs w:val="21"/>
                    </w:rPr>
                  </w:pPr>
                </w:p>
              </w:tc>
              <w:tc>
                <w:tcPr>
                  <w:tcW w:w="1640" w:type="pct"/>
                  <w:vMerge w:val="continue"/>
                  <w:vAlign w:val="center"/>
                </w:tcPr>
                <w:p>
                  <w:pPr>
                    <w:snapToGrid w:val="0"/>
                    <w:spacing w:line="320" w:lineRule="exact"/>
                    <w:jc w:val="center"/>
                    <w:rPr>
                      <w:rFonts w:ascii="Times New Roman" w:hAnsi="Times New Roman" w:cs="Times New Roman"/>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626" w:type="pct"/>
                  <w:vMerge w:val="continue"/>
                  <w:vAlign w:val="center"/>
                </w:tcPr>
                <w:p>
                  <w:pPr>
                    <w:snapToGrid w:val="0"/>
                    <w:spacing w:line="320" w:lineRule="exact"/>
                    <w:jc w:val="center"/>
                    <w:rPr>
                      <w:rFonts w:ascii="Times New Roman" w:hAnsi="Times New Roman" w:cs="Times New Roman"/>
                      <w:szCs w:val="21"/>
                    </w:rPr>
                  </w:pPr>
                </w:p>
              </w:tc>
              <w:tc>
                <w:tcPr>
                  <w:tcW w:w="782" w:type="pct"/>
                  <w:vMerge w:val="continue"/>
                  <w:vAlign w:val="center"/>
                </w:tcPr>
                <w:p>
                  <w:pPr>
                    <w:snapToGrid w:val="0"/>
                    <w:spacing w:line="320" w:lineRule="exact"/>
                    <w:jc w:val="center"/>
                    <w:rPr>
                      <w:rFonts w:ascii="Times New Roman" w:hAnsi="Times New Roman" w:cs="Times New Roman"/>
                      <w:szCs w:val="21"/>
                    </w:rPr>
                  </w:pPr>
                </w:p>
              </w:tc>
              <w:tc>
                <w:tcPr>
                  <w:tcW w:w="858"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颗粒物</w:t>
                  </w:r>
                </w:p>
              </w:tc>
              <w:tc>
                <w:tcPr>
                  <w:tcW w:w="1094" w:type="pct"/>
                  <w:vMerge w:val="continue"/>
                  <w:vAlign w:val="center"/>
                </w:tcPr>
                <w:p>
                  <w:pPr>
                    <w:snapToGrid w:val="0"/>
                    <w:spacing w:line="320" w:lineRule="exact"/>
                    <w:jc w:val="center"/>
                    <w:rPr>
                      <w:rFonts w:ascii="Times New Roman" w:hAnsi="Times New Roman" w:cs="Times New Roman"/>
                      <w:szCs w:val="21"/>
                    </w:rPr>
                  </w:pPr>
                </w:p>
              </w:tc>
              <w:tc>
                <w:tcPr>
                  <w:tcW w:w="1640" w:type="pct"/>
                  <w:vMerge w:val="continue"/>
                  <w:vAlign w:val="center"/>
                </w:tcPr>
                <w:p>
                  <w:pPr>
                    <w:snapToGrid w:val="0"/>
                    <w:spacing w:line="320" w:lineRule="exact"/>
                    <w:jc w:val="center"/>
                    <w:rPr>
                      <w:rFonts w:ascii="Times New Roman" w:hAnsi="Times New Roman" w:cs="Times New Roman"/>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626" w:type="pct"/>
                  <w:vMerge w:val="continue"/>
                  <w:vAlign w:val="center"/>
                </w:tcPr>
                <w:p>
                  <w:pPr>
                    <w:snapToGrid w:val="0"/>
                    <w:spacing w:line="320" w:lineRule="exact"/>
                    <w:jc w:val="center"/>
                    <w:rPr>
                      <w:rFonts w:ascii="Times New Roman" w:hAnsi="Times New Roman" w:cs="Times New Roman"/>
                      <w:szCs w:val="21"/>
                    </w:rPr>
                  </w:pPr>
                </w:p>
              </w:tc>
              <w:tc>
                <w:tcPr>
                  <w:tcW w:w="782" w:type="pct"/>
                  <w:vMerge w:val="continue"/>
                  <w:vAlign w:val="center"/>
                </w:tcPr>
                <w:p>
                  <w:pPr>
                    <w:snapToGrid w:val="0"/>
                    <w:spacing w:line="320" w:lineRule="exact"/>
                    <w:jc w:val="center"/>
                    <w:rPr>
                      <w:rFonts w:ascii="Times New Roman" w:hAnsi="Times New Roman" w:cs="Times New Roman"/>
                      <w:szCs w:val="21"/>
                    </w:rPr>
                  </w:pPr>
                </w:p>
              </w:tc>
              <w:tc>
                <w:tcPr>
                  <w:tcW w:w="858"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烟气黑度</w:t>
                  </w:r>
                </w:p>
              </w:tc>
              <w:tc>
                <w:tcPr>
                  <w:tcW w:w="1094" w:type="pct"/>
                  <w:vMerge w:val="continue"/>
                  <w:vAlign w:val="center"/>
                </w:tcPr>
                <w:p>
                  <w:pPr>
                    <w:snapToGrid w:val="0"/>
                    <w:spacing w:line="320" w:lineRule="exact"/>
                    <w:jc w:val="center"/>
                    <w:rPr>
                      <w:rFonts w:ascii="Times New Roman" w:hAnsi="Times New Roman" w:cs="Times New Roman"/>
                      <w:szCs w:val="21"/>
                    </w:rPr>
                  </w:pPr>
                </w:p>
              </w:tc>
              <w:tc>
                <w:tcPr>
                  <w:tcW w:w="1640" w:type="pct"/>
                  <w:vMerge w:val="continue"/>
                  <w:vAlign w:val="center"/>
                </w:tcPr>
                <w:p>
                  <w:pPr>
                    <w:snapToGrid w:val="0"/>
                    <w:spacing w:line="320" w:lineRule="exact"/>
                    <w:jc w:val="center"/>
                    <w:rPr>
                      <w:rFonts w:ascii="Times New Roman" w:hAnsi="Times New Roman" w:cs="Times New Roman"/>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626" w:type="pct"/>
                  <w:vMerge w:val="continue"/>
                  <w:vAlign w:val="center"/>
                </w:tcPr>
                <w:p>
                  <w:pPr>
                    <w:snapToGrid w:val="0"/>
                    <w:spacing w:line="320" w:lineRule="exact"/>
                    <w:jc w:val="center"/>
                    <w:rPr>
                      <w:rFonts w:ascii="Times New Roman" w:hAnsi="Times New Roman" w:cs="Times New Roman"/>
                      <w:szCs w:val="21"/>
                    </w:rPr>
                  </w:pPr>
                </w:p>
              </w:tc>
              <w:tc>
                <w:tcPr>
                  <w:tcW w:w="782"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食堂</w:t>
                  </w:r>
                </w:p>
              </w:tc>
              <w:tc>
                <w:tcPr>
                  <w:tcW w:w="858"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油烟</w:t>
                  </w:r>
                </w:p>
              </w:tc>
              <w:tc>
                <w:tcPr>
                  <w:tcW w:w="1094"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净化效率不低于60%的油烟净化装置，油烟经专用烟道引至房顶排放</w:t>
                  </w:r>
                </w:p>
              </w:tc>
              <w:tc>
                <w:tcPr>
                  <w:tcW w:w="1640"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《饮食业油烟排放标准》（试行）（GB18483-2001）(小型) 油烟排放浓度≤2.0mg/m</w:t>
                  </w:r>
                  <w:r>
                    <w:rPr>
                      <w:rFonts w:ascii="Times New Roman" w:hAnsi="Times New Roman" w:cs="Times New Roman"/>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626"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无组织</w:t>
                  </w:r>
                </w:p>
              </w:tc>
              <w:tc>
                <w:tcPr>
                  <w:tcW w:w="782"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bCs/>
                      <w:szCs w:val="21"/>
                    </w:rPr>
                    <w:t>卸料装置和输送装置</w:t>
                  </w:r>
                </w:p>
              </w:tc>
              <w:tc>
                <w:tcPr>
                  <w:tcW w:w="858"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颗粒物</w:t>
                  </w:r>
                </w:p>
              </w:tc>
              <w:tc>
                <w:tcPr>
                  <w:tcW w:w="1094"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洒水及防风抑尘网降尘，加强绿化，做好设备的密闭</w:t>
                  </w:r>
                </w:p>
              </w:tc>
              <w:tc>
                <w:tcPr>
                  <w:tcW w:w="1640" w:type="pct"/>
                  <w:vAlign w:val="center"/>
                </w:tcPr>
                <w:p>
                  <w:pPr>
                    <w:snapToGrid w:val="0"/>
                    <w:spacing w:line="320" w:lineRule="exact"/>
                    <w:jc w:val="center"/>
                    <w:rPr>
                      <w:rFonts w:ascii="Times New Roman" w:hAnsi="Times New Roman" w:cs="Times New Roman"/>
                      <w:szCs w:val="21"/>
                    </w:rPr>
                  </w:pPr>
                  <w:r>
                    <w:rPr>
                      <w:rFonts w:ascii="Times New Roman" w:hAnsi="Times New Roman" w:cs="Times New Roman"/>
                      <w:szCs w:val="21"/>
                    </w:rPr>
                    <w:t>《大气污染物综合排放标准》（GB16297-1996）表2中无组织排放限值</w:t>
                  </w:r>
                </w:p>
              </w:tc>
            </w:tr>
          </w:tbl>
          <w:p>
            <w:pPr>
              <w:adjustRightInd w:val="0"/>
              <w:snapToGrid w:val="0"/>
              <w:spacing w:line="500" w:lineRule="exact"/>
              <w:ind w:firstLine="420" w:firstLineChars="200"/>
              <w:rPr>
                <w:rFonts w:ascii="Times New Roman" w:hAnsi="Times New Roman" w:cs="Times New Roman"/>
              </w:rPr>
            </w:pPr>
            <w:r>
              <w:rPr>
                <w:rFonts w:ascii="Times New Roman" w:hAnsi="Times New Roman" w:cs="Times New Roman"/>
              </w:rPr>
              <w:t>2、废水</w:t>
            </w:r>
          </w:p>
          <w:p>
            <w:pPr>
              <w:spacing w:line="500" w:lineRule="exact"/>
              <w:ind w:firstLine="420" w:firstLineChars="200"/>
              <w:rPr>
                <w:rFonts w:ascii="Times New Roman" w:hAnsi="Times New Roman" w:cs="Times New Roman"/>
                <w:kern w:val="0"/>
                <w:lang w:val="zh-CN"/>
              </w:rPr>
            </w:pPr>
            <w:r>
              <w:rPr>
                <w:rFonts w:ascii="Times New Roman" w:hAnsi="Times New Roman" w:cs="Times New Roman"/>
              </w:rPr>
              <w:t>本项目生产不用水，本项目厂区生活用水利用厂区内原有水井提供。</w:t>
            </w:r>
            <w:r>
              <w:rPr>
                <w:rFonts w:ascii="Times New Roman" w:hAnsi="Times New Roman" w:cs="Times New Roman"/>
                <w:kern w:val="0"/>
                <w:lang w:val="zh-CN"/>
              </w:rPr>
              <w:t>根据黑龙江省地方标准《用水定额》（DB23/T727-2017），</w:t>
            </w:r>
            <w:r>
              <w:rPr>
                <w:rFonts w:ascii="Times New Roman" w:hAnsi="Times New Roman" w:cs="Times New Roman"/>
              </w:rPr>
              <w:t>项目废水为员工生活污水，运营期有员工75人</w:t>
            </w:r>
            <w:r>
              <w:rPr>
                <w:rFonts w:ascii="Times New Roman" w:hAnsi="Times New Roman" w:cs="Times New Roman"/>
                <w:kern w:val="0"/>
                <w:lang w:val="zh-CN"/>
              </w:rPr>
              <w:t>，本项目生活用水量按40L/人.d，则生活用水量为3t/d（</w:t>
            </w:r>
            <w:r>
              <w:rPr>
                <w:rFonts w:ascii="Times New Roman" w:hAnsi="Times New Roman" w:cs="Times New Roman"/>
                <w:kern w:val="0"/>
              </w:rPr>
              <w:t>54</w:t>
            </w:r>
            <w:r>
              <w:rPr>
                <w:rFonts w:ascii="Times New Roman" w:hAnsi="Times New Roman" w:cs="Times New Roman"/>
                <w:kern w:val="0"/>
                <w:lang w:val="zh-CN"/>
              </w:rPr>
              <w:t>0t/a）。</w:t>
            </w:r>
          </w:p>
          <w:p>
            <w:pPr>
              <w:spacing w:line="500" w:lineRule="exact"/>
              <w:ind w:firstLine="420" w:firstLineChars="200"/>
              <w:rPr>
                <w:rFonts w:ascii="Times New Roman" w:hAnsi="Times New Roman" w:cs="Times New Roman"/>
              </w:rPr>
            </w:pPr>
            <w:r>
              <w:rPr>
                <w:rFonts w:ascii="Times New Roman" w:hAnsi="Times New Roman" w:cs="Times New Roman"/>
                <w:kern w:val="0"/>
              </w:rPr>
              <w:t>本项目废水为生活污水，生活污水产生量按照用水量的80%计算，</w:t>
            </w:r>
            <w:r>
              <w:rPr>
                <w:rFonts w:ascii="Times New Roman" w:hAnsi="Times New Roman" w:cs="Times New Roman"/>
                <w:kern w:val="0"/>
                <w:lang w:val="zh-CN"/>
              </w:rPr>
              <w:t>排放量为</w:t>
            </w:r>
            <w:r>
              <w:rPr>
                <w:rFonts w:ascii="Times New Roman" w:hAnsi="Times New Roman" w:cs="Times New Roman"/>
                <w:kern w:val="0"/>
              </w:rPr>
              <w:t>432</w:t>
            </w:r>
            <w:r>
              <w:rPr>
                <w:rFonts w:ascii="Times New Roman" w:hAnsi="Times New Roman" w:cs="Times New Roman"/>
                <w:kern w:val="0"/>
                <w:lang w:val="zh-CN"/>
              </w:rPr>
              <w:t>t/a，</w:t>
            </w:r>
            <w:r>
              <w:rPr>
                <w:rFonts w:ascii="Times New Roman" w:hAnsi="Times New Roman" w:cs="Times New Roman"/>
              </w:rPr>
              <w:t>生活污水排入自建的防渗污水池收集，定期运送至东城区污水处理厂处理后排入北二十里泡</w:t>
            </w:r>
            <w:r>
              <w:rPr>
                <w:rFonts w:ascii="Times New Roman" w:hAnsi="Times New Roman" w:cs="Times New Roman"/>
                <w:lang w:val="zh-CN"/>
              </w:rPr>
              <w:t>。</w:t>
            </w:r>
            <w:r>
              <w:rPr>
                <w:rFonts w:ascii="Times New Roman" w:hAnsi="Times New Roman" w:cs="Times New Roman"/>
              </w:rPr>
              <w:t>预测生活污水中污染物COD浓度300mg/L，氨氮30mg/L；则COD产生量为0.129t/a，氨氮产生量为0.0129t/a。</w:t>
            </w:r>
          </w:p>
          <w:p>
            <w:pPr>
              <w:adjustRightInd w:val="0"/>
              <w:snapToGrid w:val="0"/>
              <w:spacing w:line="500" w:lineRule="exact"/>
              <w:ind w:firstLine="420" w:firstLineChars="200"/>
              <w:rPr>
                <w:rFonts w:ascii="Times New Roman" w:hAnsi="Times New Roman" w:cs="Times New Roman"/>
                <w:szCs w:val="21"/>
              </w:rPr>
            </w:pPr>
            <w:r>
              <w:rPr>
                <w:rFonts w:ascii="Times New Roman" w:hAnsi="Times New Roman" w:cs="Times New Roman"/>
                <w:szCs w:val="21"/>
              </w:rPr>
              <w:t>3、噪声</w:t>
            </w:r>
          </w:p>
          <w:p>
            <w:pPr>
              <w:adjustRightInd w:val="0"/>
              <w:snapToGrid w:val="0"/>
              <w:spacing w:line="500" w:lineRule="exact"/>
              <w:ind w:firstLine="420" w:firstLineChars="200"/>
              <w:rPr>
                <w:rFonts w:ascii="Times New Roman" w:hAnsi="Times New Roman" w:cs="Times New Roman"/>
                <w:kern w:val="0"/>
                <w:sz w:val="24"/>
                <w:szCs w:val="28"/>
              </w:rPr>
            </w:pPr>
            <w:r>
              <w:rPr>
                <w:rFonts w:ascii="Times New Roman" w:hAnsi="Times New Roman" w:cs="Times New Roman"/>
              </w:rPr>
              <w:t>本项目噪声源主要来自于搅拌缸、引风机、振动筛等加工设备，已选取低噪声设备，采取减振、隔声等措施。</w:t>
            </w:r>
            <w:r>
              <w:rPr>
                <w:rFonts w:ascii="Times New Roman" w:hAnsi="Times New Roman" w:cs="Times New Roman"/>
                <w:szCs w:val="21"/>
              </w:rPr>
              <w:t>并对产生噪声的设备进行合理布局，安装减震垫等，噪声对环境的影响较小。</w:t>
            </w:r>
          </w:p>
          <w:p>
            <w:pPr>
              <w:adjustRightInd w:val="0"/>
              <w:snapToGrid w:val="0"/>
              <w:spacing w:line="500" w:lineRule="exact"/>
              <w:ind w:firstLine="420" w:firstLineChars="200"/>
              <w:rPr>
                <w:rFonts w:ascii="Times New Roman" w:hAnsi="Times New Roman" w:cs="Times New Roman"/>
                <w:szCs w:val="21"/>
              </w:rPr>
            </w:pPr>
            <w:r>
              <w:rPr>
                <w:rFonts w:ascii="Times New Roman" w:hAnsi="Times New Roman" w:cs="Times New Roman"/>
                <w:szCs w:val="21"/>
              </w:rPr>
              <w:t>4、固体废物</w:t>
            </w:r>
          </w:p>
          <w:p>
            <w:pPr>
              <w:pStyle w:val="27"/>
              <w:ind w:firstLine="435" w:firstLineChars="0"/>
              <w:rPr>
                <w:rFonts w:ascii="Times New Roman" w:hAnsi="Times New Roman" w:eastAsia="宋体" w:cs="Times New Roman"/>
                <w:color w:val="000000" w:themeColor="text1"/>
                <w:kern w:val="0"/>
                <w:sz w:val="21"/>
                <w:szCs w:val="21"/>
              </w:rPr>
            </w:pPr>
            <w:r>
              <w:rPr>
                <w:rFonts w:ascii="Times New Roman" w:hAnsi="Times New Roman" w:eastAsia="宋体" w:cs="Times New Roman"/>
                <w:color w:val="000000" w:themeColor="text1"/>
                <w:kern w:val="0"/>
                <w:sz w:val="21"/>
                <w:szCs w:val="21"/>
              </w:rPr>
              <w:t>本项目产生的生活垃圾设置简易垃圾桶进行收集，生活垃圾经收集后定期拉运至城市垃圾填埋场处理。废石料、除尘器收集的固废经集中收集后，外售综合利用。废活性炭、废导热油经收集后暂存于危废暂存间，定期交由有相应资质的危险废物处置单位处置，并做好台账。本项目固体废物处理率100%，危险废物做到安全处置，不会对环境造成二次污染。</w:t>
            </w: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p>
          <w:p>
            <w:pPr>
              <w:pStyle w:val="27"/>
              <w:ind w:firstLine="420"/>
              <w:rPr>
                <w:rFonts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rPr>
              <w:t>5</w:t>
            </w:r>
            <w:r>
              <w:rPr>
                <w:rFonts w:ascii="Times New Roman" w:hAnsi="Times New Roman" w:eastAsia="宋体" w:cs="Times New Roman"/>
                <w:bCs/>
                <w:color w:val="auto"/>
                <w:sz w:val="21"/>
                <w:szCs w:val="21"/>
              </w:rPr>
              <w:t>、环保设施投资落实情况</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本项目设计总投资12000万元，实际环保投资59万元，占总投资的0.49%环保投资的具体落实情况见下表3-2。</w:t>
            </w:r>
          </w:p>
          <w:p>
            <w:pPr>
              <w:spacing w:line="500" w:lineRule="exact"/>
              <w:ind w:firstLine="420" w:firstLineChars="200"/>
              <w:rPr>
                <w:rFonts w:ascii="Times New Roman" w:hAnsi="Times New Roman" w:eastAsia="黑体" w:cs="Times New Roman"/>
                <w:bCs/>
                <w:szCs w:val="21"/>
              </w:rPr>
            </w:pPr>
            <w:r>
              <w:rPr>
                <w:rFonts w:ascii="Times New Roman" w:hAnsi="Times New Roman" w:eastAsia="黑体" w:cs="Times New Roman"/>
                <w:bCs/>
                <w:szCs w:val="21"/>
              </w:rPr>
              <w:t>表3-2                  项目环保设施建设及投资一览表                    单位：万元</w:t>
            </w:r>
          </w:p>
          <w:tbl>
            <w:tblPr>
              <w:tblStyle w:val="1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37"/>
              <w:gridCol w:w="2027"/>
              <w:gridCol w:w="4052"/>
              <w:gridCol w:w="1118"/>
              <w:gridCol w:w="133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13" w:type="pct"/>
                  <w:gridSpan w:val="2"/>
                  <w:vMerge w:val="restart"/>
                  <w:tcBorders>
                    <w:tl2br w:val="nil"/>
                    <w:tr2bl w:val="nil"/>
                  </w:tcBorders>
                  <w:vAlign w:val="center"/>
                </w:tcPr>
                <w:p>
                  <w:pPr>
                    <w:spacing w:line="320" w:lineRule="exact"/>
                    <w:jc w:val="center"/>
                    <w:rPr>
                      <w:rFonts w:hint="eastAsia" w:ascii="黑体" w:hAnsi="黑体" w:eastAsia="黑体" w:cs="黑体"/>
                      <w:szCs w:val="21"/>
                    </w:rPr>
                  </w:pPr>
                  <w:r>
                    <w:rPr>
                      <w:rFonts w:hint="eastAsia" w:ascii="黑体" w:hAnsi="黑体" w:eastAsia="黑体" w:cs="黑体"/>
                      <w:szCs w:val="21"/>
                    </w:rPr>
                    <w:t>类别</w:t>
                  </w:r>
                </w:p>
              </w:tc>
              <w:tc>
                <w:tcPr>
                  <w:tcW w:w="3586" w:type="pct"/>
                  <w:gridSpan w:val="3"/>
                  <w:tcBorders>
                    <w:tl2br w:val="nil"/>
                    <w:tr2bl w:val="nil"/>
                  </w:tcBorders>
                  <w:vAlign w:val="center"/>
                </w:tcPr>
                <w:p>
                  <w:pPr>
                    <w:spacing w:line="320" w:lineRule="exact"/>
                    <w:jc w:val="center"/>
                    <w:rPr>
                      <w:rFonts w:hint="eastAsia" w:ascii="黑体" w:hAnsi="黑体" w:eastAsia="黑体" w:cs="黑体"/>
                      <w:szCs w:val="21"/>
                    </w:rPr>
                  </w:pPr>
                  <w:r>
                    <w:rPr>
                      <w:rFonts w:hint="eastAsia" w:ascii="黑体" w:hAnsi="黑体" w:eastAsia="黑体" w:cs="黑体"/>
                      <w:szCs w:val="21"/>
                    </w:rPr>
                    <w:t>环评要求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13" w:type="pct"/>
                  <w:gridSpan w:val="2"/>
                  <w:vMerge w:val="continue"/>
                  <w:tcBorders>
                    <w:tl2br w:val="nil"/>
                    <w:tr2bl w:val="nil"/>
                  </w:tcBorders>
                  <w:vAlign w:val="center"/>
                </w:tcPr>
                <w:p>
                  <w:pPr>
                    <w:spacing w:line="320" w:lineRule="exact"/>
                    <w:jc w:val="center"/>
                    <w:rPr>
                      <w:rFonts w:ascii="Times New Roman" w:hAnsi="Times New Roman" w:cs="Times New Roman"/>
                      <w:szCs w:val="21"/>
                    </w:rPr>
                  </w:pPr>
                </w:p>
              </w:tc>
              <w:tc>
                <w:tcPr>
                  <w:tcW w:w="2232" w:type="pct"/>
                  <w:tcBorders>
                    <w:tl2br w:val="nil"/>
                    <w:tr2bl w:val="nil"/>
                  </w:tcBorders>
                  <w:vAlign w:val="center"/>
                </w:tcPr>
                <w:p>
                  <w:pPr>
                    <w:spacing w:line="320" w:lineRule="exact"/>
                    <w:jc w:val="center"/>
                    <w:rPr>
                      <w:rFonts w:hint="eastAsia" w:ascii="黑体" w:hAnsi="黑体" w:eastAsia="黑体" w:cs="黑体"/>
                      <w:szCs w:val="21"/>
                    </w:rPr>
                  </w:pPr>
                  <w:r>
                    <w:rPr>
                      <w:rFonts w:hint="eastAsia" w:ascii="黑体" w:hAnsi="黑体" w:eastAsia="黑体" w:cs="黑体"/>
                      <w:szCs w:val="21"/>
                    </w:rPr>
                    <w:t>环保设施</w:t>
                  </w:r>
                </w:p>
              </w:tc>
              <w:tc>
                <w:tcPr>
                  <w:tcW w:w="616" w:type="pct"/>
                  <w:tcBorders>
                    <w:tl2br w:val="nil"/>
                    <w:tr2bl w:val="nil"/>
                  </w:tcBorders>
                  <w:vAlign w:val="center"/>
                </w:tcPr>
                <w:p>
                  <w:pPr>
                    <w:spacing w:line="320" w:lineRule="exact"/>
                    <w:jc w:val="center"/>
                    <w:rPr>
                      <w:rFonts w:hint="eastAsia" w:ascii="黑体" w:hAnsi="黑体" w:eastAsia="黑体" w:cs="黑体"/>
                      <w:szCs w:val="21"/>
                    </w:rPr>
                  </w:pPr>
                  <w:r>
                    <w:rPr>
                      <w:rFonts w:hint="eastAsia" w:ascii="黑体" w:hAnsi="黑体" w:eastAsia="黑体" w:cs="黑体"/>
                      <w:szCs w:val="21"/>
                    </w:rPr>
                    <w:t>工程投资(万元)</w:t>
                  </w:r>
                </w:p>
              </w:tc>
              <w:tc>
                <w:tcPr>
                  <w:tcW w:w="737" w:type="pct"/>
                  <w:tcBorders>
                    <w:tl2br w:val="nil"/>
                    <w:tr2bl w:val="nil"/>
                  </w:tcBorders>
                  <w:vAlign w:val="center"/>
                </w:tcPr>
                <w:p>
                  <w:pPr>
                    <w:spacing w:line="320" w:lineRule="exact"/>
                    <w:jc w:val="center"/>
                    <w:rPr>
                      <w:rFonts w:hint="eastAsia" w:ascii="黑体" w:hAnsi="黑体" w:eastAsia="黑体" w:cs="黑体"/>
                      <w:szCs w:val="21"/>
                    </w:rPr>
                  </w:pPr>
                  <w:r>
                    <w:rPr>
                      <w:rFonts w:hint="eastAsia" w:ascii="黑体" w:hAnsi="黑体" w:eastAsia="黑体" w:cs="黑体"/>
                      <w:szCs w:val="21"/>
                    </w:rPr>
                    <w:t>实际投资(万元)</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20" w:hRule="atLeast"/>
                <w:jc w:val="center"/>
              </w:trPr>
              <w:tc>
                <w:tcPr>
                  <w:tcW w:w="296" w:type="pct"/>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废气防治</w:t>
                  </w:r>
                </w:p>
                <w:p>
                  <w:pPr>
                    <w:spacing w:line="320" w:lineRule="exact"/>
                    <w:jc w:val="center"/>
                    <w:rPr>
                      <w:rFonts w:ascii="Times New Roman" w:hAnsi="Times New Roman" w:cs="Times New Roman"/>
                      <w:szCs w:val="21"/>
                    </w:rPr>
                  </w:pPr>
                  <w:r>
                    <w:rPr>
                      <w:rFonts w:ascii="Times New Roman" w:hAnsi="Times New Roman" w:cs="Times New Roman"/>
                      <w:szCs w:val="21"/>
                    </w:rPr>
                    <w:t>措施</w:t>
                  </w:r>
                </w:p>
              </w:tc>
              <w:tc>
                <w:tcPr>
                  <w:tcW w:w="1117"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搅拌设备</w:t>
                  </w:r>
                </w:p>
              </w:tc>
              <w:tc>
                <w:tcPr>
                  <w:tcW w:w="2232" w:type="pct"/>
                  <w:tcBorders>
                    <w:tl2br w:val="nil"/>
                    <w:tr2bl w:val="nil"/>
                  </w:tcBorders>
                  <w:vAlign w:val="center"/>
                </w:tcPr>
                <w:p>
                  <w:pPr>
                    <w:pStyle w:val="32"/>
                    <w:spacing w:line="320" w:lineRule="exact"/>
                    <w:rPr>
                      <w:rFonts w:ascii="Times New Roman" w:hAnsi="Times New Roman" w:cs="Times New Roman"/>
                      <w:szCs w:val="21"/>
                    </w:rPr>
                  </w:pPr>
                  <w:r>
                    <w:rPr>
                      <w:rFonts w:ascii="Times New Roman" w:hAnsi="Times New Roman" w:cs="Times New Roman"/>
                      <w:bCs/>
                      <w:szCs w:val="21"/>
                    </w:rPr>
                    <w:t>经过1套喷淋塔+</w:t>
                  </w:r>
                  <w:r>
                    <w:rPr>
                      <w:rFonts w:ascii="Times New Roman" w:hAnsi="Times New Roman" w:cs="Times New Roman"/>
                      <w:kern w:val="0"/>
                      <w:szCs w:val="21"/>
                    </w:rPr>
                    <w:t>1套动离除雾设备+1套光氧催化设备+1套活性炭吸附装置+排气筒</w:t>
                  </w:r>
                </w:p>
              </w:tc>
              <w:tc>
                <w:tcPr>
                  <w:tcW w:w="616" w:type="pct"/>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20</w:t>
                  </w:r>
                </w:p>
              </w:tc>
              <w:tc>
                <w:tcPr>
                  <w:tcW w:w="737" w:type="pct"/>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70" w:hRule="atLeast"/>
                <w:jc w:val="center"/>
              </w:trPr>
              <w:tc>
                <w:tcPr>
                  <w:tcW w:w="296"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1117"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干燥粉尘</w:t>
                  </w:r>
                </w:p>
              </w:tc>
              <w:tc>
                <w:tcPr>
                  <w:tcW w:w="223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布袋除尘器+排气筒</w:t>
                  </w:r>
                </w:p>
              </w:tc>
              <w:tc>
                <w:tcPr>
                  <w:tcW w:w="616"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737" w:type="pct"/>
                  <w:vMerge w:val="continue"/>
                  <w:tcBorders>
                    <w:tl2br w:val="nil"/>
                    <w:tr2bl w:val="nil"/>
                  </w:tcBorders>
                  <w:vAlign w:val="center"/>
                </w:tcPr>
                <w:p>
                  <w:pPr>
                    <w:spacing w:line="320" w:lineRule="exact"/>
                    <w:jc w:val="center"/>
                    <w:rPr>
                      <w:rFonts w:ascii="Times New Roman" w:hAnsi="Times New Roman" w:cs="Times New Roman"/>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32" w:hRule="atLeast"/>
                <w:jc w:val="center"/>
              </w:trPr>
              <w:tc>
                <w:tcPr>
                  <w:tcW w:w="296"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1117"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燃气锅炉、加热炉（燃烧器）</w:t>
                  </w:r>
                </w:p>
              </w:tc>
              <w:tc>
                <w:tcPr>
                  <w:tcW w:w="2232" w:type="pct"/>
                  <w:tcBorders>
                    <w:tl2br w:val="nil"/>
                    <w:tr2bl w:val="nil"/>
                  </w:tcBorders>
                  <w:vAlign w:val="center"/>
                </w:tcPr>
                <w:p>
                  <w:pPr>
                    <w:pStyle w:val="32"/>
                    <w:spacing w:line="320" w:lineRule="exact"/>
                    <w:rPr>
                      <w:rFonts w:ascii="Times New Roman" w:hAnsi="Times New Roman" w:cs="Times New Roman"/>
                      <w:szCs w:val="21"/>
                    </w:rPr>
                  </w:pPr>
                  <w:r>
                    <w:rPr>
                      <w:rFonts w:ascii="Times New Roman" w:hAnsi="Times New Roman" w:cs="Times New Roman"/>
                      <w:szCs w:val="21"/>
                    </w:rPr>
                    <w:t>排气筒</w:t>
                  </w:r>
                </w:p>
              </w:tc>
              <w:tc>
                <w:tcPr>
                  <w:tcW w:w="616" w:type="pct"/>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10</w:t>
                  </w:r>
                </w:p>
              </w:tc>
              <w:tc>
                <w:tcPr>
                  <w:tcW w:w="737" w:type="pct"/>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85" w:hRule="atLeast"/>
                <w:jc w:val="center"/>
              </w:trPr>
              <w:tc>
                <w:tcPr>
                  <w:tcW w:w="296"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1117"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上料配料</w:t>
                  </w:r>
                </w:p>
              </w:tc>
              <w:tc>
                <w:tcPr>
                  <w:tcW w:w="223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排气筒</w:t>
                  </w:r>
                </w:p>
              </w:tc>
              <w:tc>
                <w:tcPr>
                  <w:tcW w:w="616"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737" w:type="pct"/>
                  <w:vMerge w:val="continue"/>
                  <w:tcBorders>
                    <w:tl2br w:val="nil"/>
                    <w:tr2bl w:val="nil"/>
                  </w:tcBorders>
                  <w:vAlign w:val="center"/>
                </w:tcPr>
                <w:p>
                  <w:pPr>
                    <w:spacing w:line="320" w:lineRule="exact"/>
                    <w:jc w:val="center"/>
                    <w:rPr>
                      <w:rFonts w:ascii="Times New Roman" w:hAnsi="Times New Roman" w:cs="Times New Roman"/>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55" w:hRule="atLeast"/>
                <w:jc w:val="center"/>
              </w:trPr>
              <w:tc>
                <w:tcPr>
                  <w:tcW w:w="296"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1117"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食堂油烟</w:t>
                  </w:r>
                </w:p>
              </w:tc>
              <w:tc>
                <w:tcPr>
                  <w:tcW w:w="223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安装油烟净化设备+排气筒</w:t>
                  </w:r>
                </w:p>
              </w:tc>
              <w:tc>
                <w:tcPr>
                  <w:tcW w:w="616"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w:t>
                  </w:r>
                </w:p>
              </w:tc>
              <w:tc>
                <w:tcPr>
                  <w:tcW w:w="737"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96"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1117"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bCs/>
                      <w:szCs w:val="21"/>
                    </w:rPr>
                    <w:t>卸料装置和输送装置产生的粉尘</w:t>
                  </w:r>
                </w:p>
              </w:tc>
              <w:tc>
                <w:tcPr>
                  <w:tcW w:w="2232" w:type="pct"/>
                  <w:tcBorders>
                    <w:tl2br w:val="nil"/>
                    <w:tr2bl w:val="nil"/>
                  </w:tcBorders>
                  <w:vAlign w:val="center"/>
                </w:tcPr>
                <w:p>
                  <w:pPr>
                    <w:widowControl/>
                    <w:spacing w:line="320" w:lineRule="exact"/>
                    <w:jc w:val="center"/>
                    <w:rPr>
                      <w:rFonts w:ascii="Times New Roman" w:hAnsi="Times New Roman" w:cs="Times New Roman"/>
                      <w:szCs w:val="21"/>
                    </w:rPr>
                  </w:pPr>
                  <w:r>
                    <w:rPr>
                      <w:rFonts w:ascii="Times New Roman" w:hAnsi="Times New Roman" w:cs="Times New Roman"/>
                      <w:bCs/>
                      <w:szCs w:val="21"/>
                    </w:rPr>
                    <w:t>需</w:t>
                  </w:r>
                  <w:r>
                    <w:rPr>
                      <w:rFonts w:ascii="Times New Roman" w:hAnsi="Times New Roman" w:cs="Times New Roman"/>
                      <w:szCs w:val="21"/>
                    </w:rPr>
                    <w:t>洒水及防风抑尘网降尘，周边加强绿化，做好设备的密闭。</w:t>
                  </w:r>
                </w:p>
              </w:tc>
              <w:tc>
                <w:tcPr>
                  <w:tcW w:w="616"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2</w:t>
                  </w:r>
                </w:p>
              </w:tc>
              <w:tc>
                <w:tcPr>
                  <w:tcW w:w="737"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39" w:hRule="atLeast"/>
                <w:jc w:val="center"/>
              </w:trPr>
              <w:tc>
                <w:tcPr>
                  <w:tcW w:w="1413" w:type="pct"/>
                  <w:gridSpan w:val="2"/>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废水防治措施</w:t>
                  </w:r>
                </w:p>
              </w:tc>
              <w:tc>
                <w:tcPr>
                  <w:tcW w:w="223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油水分离器</w:t>
                  </w:r>
                </w:p>
              </w:tc>
              <w:tc>
                <w:tcPr>
                  <w:tcW w:w="616"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w:t>
                  </w:r>
                </w:p>
              </w:tc>
              <w:tc>
                <w:tcPr>
                  <w:tcW w:w="737"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413" w:type="pct"/>
                  <w:gridSpan w:val="2"/>
                  <w:vMerge w:val="continue"/>
                  <w:tcBorders>
                    <w:tl2br w:val="nil"/>
                    <w:tr2bl w:val="nil"/>
                  </w:tcBorders>
                  <w:vAlign w:val="center"/>
                </w:tcPr>
                <w:p>
                  <w:pPr>
                    <w:spacing w:line="320" w:lineRule="exact"/>
                    <w:jc w:val="center"/>
                    <w:rPr>
                      <w:rFonts w:ascii="Times New Roman" w:hAnsi="Times New Roman" w:cs="Times New Roman"/>
                      <w:szCs w:val="21"/>
                    </w:rPr>
                  </w:pPr>
                </w:p>
              </w:tc>
              <w:tc>
                <w:tcPr>
                  <w:tcW w:w="223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防渗污水池</w:t>
                  </w:r>
                </w:p>
              </w:tc>
              <w:tc>
                <w:tcPr>
                  <w:tcW w:w="616"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2</w:t>
                  </w:r>
                </w:p>
              </w:tc>
              <w:tc>
                <w:tcPr>
                  <w:tcW w:w="737"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13"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防渗措施</w:t>
                  </w:r>
                </w:p>
              </w:tc>
              <w:tc>
                <w:tcPr>
                  <w:tcW w:w="223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生产区域、危险废物暂存间及罐区防渗、围堰</w:t>
                  </w:r>
                </w:p>
              </w:tc>
              <w:tc>
                <w:tcPr>
                  <w:tcW w:w="616"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4</w:t>
                  </w:r>
                </w:p>
              </w:tc>
              <w:tc>
                <w:tcPr>
                  <w:tcW w:w="737"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13"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噪声防治措施</w:t>
                  </w:r>
                </w:p>
              </w:tc>
              <w:tc>
                <w:tcPr>
                  <w:tcW w:w="223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隔声、减振设施</w:t>
                  </w:r>
                </w:p>
              </w:tc>
              <w:tc>
                <w:tcPr>
                  <w:tcW w:w="616"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w:t>
                  </w:r>
                </w:p>
              </w:tc>
              <w:tc>
                <w:tcPr>
                  <w:tcW w:w="737"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13"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固体废物防治措施</w:t>
                  </w:r>
                </w:p>
              </w:tc>
              <w:tc>
                <w:tcPr>
                  <w:tcW w:w="2232"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危险废物暂存间</w:t>
                  </w:r>
                </w:p>
              </w:tc>
              <w:tc>
                <w:tcPr>
                  <w:tcW w:w="616"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w:t>
                  </w:r>
                </w:p>
              </w:tc>
              <w:tc>
                <w:tcPr>
                  <w:tcW w:w="737"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64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环保投资合计</w:t>
                  </w:r>
                </w:p>
              </w:tc>
              <w:tc>
                <w:tcPr>
                  <w:tcW w:w="616"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42</w:t>
                  </w:r>
                </w:p>
              </w:tc>
              <w:tc>
                <w:tcPr>
                  <w:tcW w:w="737"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59</w:t>
                  </w:r>
                </w:p>
              </w:tc>
            </w:tr>
          </w:tbl>
          <w:p>
            <w:pPr>
              <w:pStyle w:val="2"/>
            </w:pPr>
          </w:p>
          <w:p>
            <w:pPr>
              <w:pStyle w:val="2"/>
            </w:pPr>
          </w:p>
          <w:p>
            <w:pPr>
              <w:pStyle w:val="2"/>
            </w:pPr>
          </w:p>
          <w:p>
            <w:pPr>
              <w:pStyle w:val="2"/>
              <w:ind w:firstLine="0"/>
            </w:pPr>
          </w:p>
          <w:p>
            <w:pPr>
              <w:pStyle w:val="2"/>
              <w:ind w:firstLine="0"/>
            </w:pPr>
          </w:p>
          <w:p>
            <w:pPr>
              <w:pStyle w:val="2"/>
              <w:ind w:firstLine="0"/>
            </w:pPr>
          </w:p>
        </w:tc>
      </w:tr>
    </w:tbl>
    <w:p>
      <w:pPr>
        <w:outlineLvl w:val="0"/>
        <w:rPr>
          <w:rFonts w:ascii="Times New Roman" w:hAnsi="Times New Roman" w:eastAsia="黑体" w:cs="Times New Roman"/>
          <w:bCs/>
          <w:sz w:val="24"/>
        </w:rPr>
      </w:pPr>
      <w:bookmarkStart w:id="9" w:name="_Toc28403"/>
      <w:r>
        <w:rPr>
          <w:rFonts w:ascii="Times New Roman" w:hAnsi="Times New Roman" w:eastAsia="黑体" w:cs="Times New Roman"/>
          <w:bCs/>
          <w:sz w:val="24"/>
        </w:rPr>
        <w:t>表四</w:t>
      </w:r>
      <w:bookmarkEnd w:id="9"/>
    </w:p>
    <w:tbl>
      <w:tblPr>
        <w:tblStyle w:val="1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5" w:hRule="atLeast"/>
          <w:jc w:val="center"/>
        </w:trPr>
        <w:tc>
          <w:tcPr>
            <w:tcW w:w="5000" w:type="pct"/>
          </w:tcPr>
          <w:p>
            <w:pPr>
              <w:spacing w:line="500" w:lineRule="exact"/>
              <w:rPr>
                <w:rFonts w:ascii="Times New Roman" w:hAnsi="Times New Roman" w:eastAsia="宋体" w:cs="Times New Roman"/>
                <w:bCs/>
                <w:szCs w:val="21"/>
              </w:rPr>
            </w:pPr>
            <w:r>
              <w:rPr>
                <w:rFonts w:ascii="Times New Roman" w:hAnsi="Times New Roman" w:eastAsia="宋体" w:cs="Times New Roman"/>
                <w:bCs/>
                <w:szCs w:val="21"/>
              </w:rPr>
              <w:t>建设项目环境影响报告表主要结论及审批部门审批决定：</w:t>
            </w:r>
          </w:p>
          <w:p>
            <w:pPr>
              <w:pStyle w:val="27"/>
              <w:keepNext/>
              <w:ind w:firstLine="420"/>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（一）环境影响报告书主要结论与建议</w:t>
            </w:r>
          </w:p>
          <w:p>
            <w:pPr>
              <w:spacing w:line="500" w:lineRule="exact"/>
              <w:ind w:firstLine="420" w:firstLineChars="200"/>
              <w:rPr>
                <w:rFonts w:ascii="Times New Roman" w:hAnsi="Times New Roman" w:cs="Times New Roman"/>
                <w:szCs w:val="21"/>
              </w:rPr>
            </w:pPr>
            <w:r>
              <w:rPr>
                <w:rFonts w:ascii="Times New Roman" w:hAnsi="Times New Roman" w:eastAsia="宋体" w:cs="Times New Roman"/>
                <w:bCs/>
                <w:szCs w:val="21"/>
              </w:rPr>
              <w:t>1、</w:t>
            </w:r>
            <w:r>
              <w:rPr>
                <w:rFonts w:ascii="Times New Roman" w:hAnsi="Times New Roman" w:cs="Times New Roman"/>
                <w:szCs w:val="21"/>
              </w:rPr>
              <w:t>产业政策符合性分析结论</w:t>
            </w:r>
          </w:p>
          <w:p>
            <w:pPr>
              <w:spacing w:line="500" w:lineRule="exact"/>
              <w:ind w:firstLine="420" w:firstLineChars="200"/>
              <w:rPr>
                <w:rFonts w:ascii="Times New Roman" w:hAnsi="Times New Roman" w:cs="Times New Roman"/>
              </w:rPr>
            </w:pPr>
            <w:r>
              <w:rPr>
                <w:rFonts w:ascii="Times New Roman" w:hAnsi="Times New Roman" w:cs="Times New Roman"/>
              </w:rPr>
              <w:t>根据国家发展和改革委员会颁布的《产业结构调整指导目录（2019年本）》，本项目既不属于鼓励类，也不属于限制类和淘汰类，为允许类，项目所用设备和工艺均为目前国内同行业先进设备。项目符合国家产业政策及有关部门的相关行业规定。项目实施后可以促进当地的经济发展。</w:t>
            </w:r>
          </w:p>
          <w:p>
            <w:pPr>
              <w:pStyle w:val="27"/>
              <w:keepNext/>
              <w:ind w:firstLine="420"/>
              <w:rPr>
                <w:rFonts w:ascii="Times New Roman" w:hAnsi="Times New Roman" w:eastAsia="宋体" w:cs="Times New Roman"/>
                <w:bCs/>
                <w:color w:val="000000" w:themeColor="text1"/>
                <w:sz w:val="21"/>
                <w:szCs w:val="21"/>
              </w:rPr>
            </w:pPr>
            <w:r>
              <w:rPr>
                <w:rFonts w:ascii="Times New Roman" w:hAnsi="Times New Roman" w:eastAsia="宋体" w:cs="Times New Roman"/>
                <w:bCs/>
                <w:color w:val="000000" w:themeColor="text1"/>
                <w:sz w:val="21"/>
                <w:szCs w:val="21"/>
              </w:rPr>
              <w:t>2、环境质量现状评价结论</w:t>
            </w:r>
          </w:p>
          <w:p>
            <w:pPr>
              <w:pStyle w:val="28"/>
              <w:ind w:firstLine="420"/>
              <w:rPr>
                <w:rFonts w:ascii="Times New Roman" w:hAnsi="Times New Roman" w:eastAsia="宋体" w:cs="Times New Roman"/>
                <w:color w:val="000000" w:themeColor="text1"/>
                <w:spacing w:val="0"/>
                <w:kern w:val="2"/>
                <w:sz w:val="21"/>
                <w:szCs w:val="21"/>
              </w:rPr>
            </w:pPr>
            <w:r>
              <w:rPr>
                <w:rFonts w:ascii="Times New Roman" w:hAnsi="Times New Roman" w:eastAsia="宋体" w:cs="Times New Roman"/>
                <w:color w:val="000000" w:themeColor="text1"/>
                <w:spacing w:val="0"/>
                <w:kern w:val="2"/>
                <w:sz w:val="21"/>
                <w:szCs w:val="21"/>
              </w:rPr>
              <w:t>项目建设位于大庆市龙凤区光明产业园区内外环东路北侧，规划三号街东侧处，区域空气质量满足《环境空气质量标准》（GB3095-2012）二级标准；区域噪声满足《声环境质量标准》（GB3096-2008）中的2类标准要求。</w:t>
            </w:r>
          </w:p>
          <w:p>
            <w:pPr>
              <w:pStyle w:val="27"/>
              <w:keepNext/>
              <w:ind w:firstLine="420"/>
              <w:rPr>
                <w:rFonts w:ascii="Times New Roman" w:hAnsi="Times New Roman" w:eastAsia="宋体" w:cs="Times New Roman"/>
                <w:bCs/>
                <w:color w:val="000000" w:themeColor="text1"/>
                <w:sz w:val="21"/>
                <w:szCs w:val="21"/>
              </w:rPr>
            </w:pPr>
            <w:r>
              <w:rPr>
                <w:rFonts w:ascii="Times New Roman" w:hAnsi="Times New Roman" w:eastAsia="宋体" w:cs="Times New Roman"/>
                <w:bCs/>
                <w:color w:val="000000" w:themeColor="text1"/>
                <w:sz w:val="21"/>
                <w:szCs w:val="21"/>
              </w:rPr>
              <w:t>3、环境影响评价结论</w:t>
            </w:r>
          </w:p>
          <w:p>
            <w:pPr>
              <w:pStyle w:val="28"/>
              <w:ind w:firstLine="420"/>
              <w:rPr>
                <w:rFonts w:ascii="Times New Roman" w:hAnsi="Times New Roman" w:eastAsia="宋体" w:cs="Times New Roman"/>
                <w:color w:val="000000" w:themeColor="text1"/>
                <w:spacing w:val="0"/>
                <w:kern w:val="2"/>
                <w:sz w:val="21"/>
                <w:szCs w:val="21"/>
              </w:rPr>
            </w:pPr>
            <w:r>
              <w:rPr>
                <w:rFonts w:ascii="Times New Roman" w:hAnsi="Times New Roman" w:eastAsia="宋体" w:cs="Times New Roman"/>
                <w:color w:val="000000" w:themeColor="text1"/>
                <w:spacing w:val="0"/>
                <w:kern w:val="2"/>
                <w:sz w:val="21"/>
                <w:szCs w:val="21"/>
              </w:rPr>
              <w:t>（2）废气环境影响评价结论</w:t>
            </w:r>
          </w:p>
          <w:p>
            <w:pPr>
              <w:spacing w:line="500" w:lineRule="exact"/>
              <w:ind w:firstLine="420" w:firstLineChars="200"/>
              <w:rPr>
                <w:rFonts w:ascii="Times New Roman" w:hAnsi="Times New Roman" w:eastAsia="宋体" w:cs="Times New Roman"/>
                <w:color w:val="000000" w:themeColor="text1"/>
                <w:szCs w:val="21"/>
              </w:rPr>
            </w:pPr>
            <w:r>
              <w:rPr>
                <w:rFonts w:ascii="Times New Roman" w:hAnsi="Times New Roman" w:eastAsia="宋体" w:cs="Times New Roman"/>
                <w:color w:val="000000" w:themeColor="text1"/>
                <w:szCs w:val="21"/>
              </w:rPr>
              <w:t>本项目运营期产生的废气主要为粉尘、沥青烟、苯并（a）芘、加热炉烟气、燃气锅炉废气和食堂油烟。</w:t>
            </w:r>
          </w:p>
          <w:p>
            <w:pPr>
              <w:pStyle w:val="30"/>
              <w:adjustRightInd w:val="0"/>
              <w:snapToGrid w:val="0"/>
              <w:spacing w:line="500" w:lineRule="exact"/>
              <w:ind w:left="0" w:firstLine="420" w:firstLineChars="200"/>
              <w:rPr>
                <w:rFonts w:ascii="Times New Roman" w:hAnsi="Times New Roman" w:cs="Times New Roman"/>
                <w:color w:val="000000" w:themeColor="text1"/>
                <w:szCs w:val="21"/>
                <w:lang w:val="en-US" w:bidi="ar-SA"/>
              </w:rPr>
            </w:pPr>
            <w:r>
              <w:rPr>
                <w:rFonts w:hAnsi="Times New Roman" w:cs="Times New Roman"/>
                <w:color w:val="000000" w:themeColor="text1"/>
                <w:szCs w:val="21"/>
                <w:lang w:val="en-US" w:bidi="ar-SA"/>
              </w:rPr>
              <w:t>①</w:t>
            </w:r>
            <w:r>
              <w:rPr>
                <w:rFonts w:ascii="Times New Roman" w:hAnsi="Times New Roman" w:cs="Times New Roman"/>
                <w:color w:val="000000" w:themeColor="text1"/>
                <w:szCs w:val="21"/>
                <w:lang w:val="en-US" w:bidi="ar-SA"/>
              </w:rPr>
              <w:t>沥青搅拌过程产生沥青烟、苯并（a）芘，</w:t>
            </w:r>
            <w:r>
              <w:rPr>
                <w:rFonts w:ascii="Times New Roman" w:hAnsi="Times New Roman" w:cs="Times New Roman"/>
                <w:bCs/>
                <w:szCs w:val="21"/>
              </w:rPr>
              <w:t>经过1套喷淋塔+</w:t>
            </w:r>
            <w:r>
              <w:rPr>
                <w:rFonts w:ascii="Times New Roman" w:hAnsi="Times New Roman" w:cs="Times New Roman"/>
                <w:kern w:val="0"/>
                <w:szCs w:val="21"/>
              </w:rPr>
              <w:t>1套动离除雾设备+1套光氧催化设备+1套活性炭吸附装置</w:t>
            </w:r>
            <w:r>
              <w:rPr>
                <w:rFonts w:ascii="Times New Roman" w:hAnsi="Times New Roman" w:cs="Times New Roman"/>
                <w:color w:val="000000" w:themeColor="text1"/>
                <w:szCs w:val="21"/>
                <w:lang w:val="en-US" w:bidi="ar-SA"/>
              </w:rPr>
              <w:t>进行吸附处理，由生产设备上方的15m高的排气筒排放，满足《大气污染物综合排放标准》（GB16297-1996）二级排放标准。</w:t>
            </w:r>
          </w:p>
          <w:p>
            <w:pPr>
              <w:pStyle w:val="30"/>
              <w:adjustRightInd w:val="0"/>
              <w:snapToGrid w:val="0"/>
              <w:spacing w:line="500" w:lineRule="exact"/>
              <w:ind w:left="0" w:firstLine="420" w:firstLineChars="200"/>
              <w:rPr>
                <w:rFonts w:ascii="Times New Roman" w:hAnsi="Times New Roman" w:cs="Times New Roman"/>
                <w:color w:val="000000" w:themeColor="text1"/>
                <w:szCs w:val="21"/>
                <w:lang w:val="en-US" w:bidi="ar-SA"/>
              </w:rPr>
            </w:pPr>
            <w:r>
              <w:rPr>
                <w:rFonts w:hAnsi="Times New Roman" w:cs="Times New Roman"/>
                <w:color w:val="000000" w:themeColor="text1"/>
                <w:szCs w:val="21"/>
                <w:lang w:val="en-US" w:bidi="ar-SA"/>
              </w:rPr>
              <w:t>②</w:t>
            </w:r>
            <w:r>
              <w:rPr>
                <w:rFonts w:ascii="Times New Roman" w:hAnsi="Times New Roman" w:cs="Times New Roman"/>
                <w:color w:val="000000" w:themeColor="text1"/>
                <w:szCs w:val="21"/>
                <w:lang w:val="en-US" w:bidi="ar-SA"/>
              </w:rPr>
              <w:t>沥青储罐加热保温产生沥青烟、苯并（a）芘在沥青储罐的呼吸口设置导气管，并将呼吸产生的废气导入到</w:t>
            </w:r>
            <w:r>
              <w:rPr>
                <w:rFonts w:hint="eastAsia" w:ascii="Times New Roman" w:hAnsi="Times New Roman" w:cs="Times New Roman"/>
                <w:color w:val="000000" w:themeColor="text1"/>
                <w:szCs w:val="21"/>
                <w:lang w:val="en-US" w:eastAsia="zh-CN" w:bidi="ar-SA"/>
              </w:rPr>
              <w:t>生产废气治理措施</w:t>
            </w:r>
            <w:r>
              <w:rPr>
                <w:rFonts w:ascii="Times New Roman" w:hAnsi="Times New Roman" w:cs="Times New Roman"/>
                <w:color w:val="000000" w:themeColor="text1"/>
                <w:szCs w:val="21"/>
                <w:lang w:val="en-US" w:bidi="ar-SA"/>
              </w:rPr>
              <w:t>后由15m高的烟囱排放，满足《大气污染物综合排放标准》（GB16297-1996）排放监控浓度限值。</w:t>
            </w:r>
          </w:p>
          <w:p>
            <w:pPr>
              <w:spacing w:line="500" w:lineRule="exact"/>
              <w:ind w:firstLine="420" w:firstLineChars="200"/>
              <w:rPr>
                <w:rFonts w:ascii="Times New Roman" w:hAnsi="Times New Roman" w:eastAsia="宋体" w:cs="Times New Roman"/>
                <w:color w:val="000000" w:themeColor="text1"/>
                <w:szCs w:val="21"/>
              </w:rPr>
            </w:pPr>
            <w:r>
              <w:rPr>
                <w:rFonts w:ascii="宋体" w:hAnsi="Times New Roman" w:eastAsia="宋体" w:cs="Times New Roman"/>
                <w:color w:val="000000" w:themeColor="text1"/>
                <w:szCs w:val="21"/>
              </w:rPr>
              <w:t>③</w:t>
            </w:r>
            <w:r>
              <w:rPr>
                <w:rFonts w:ascii="Times New Roman" w:hAnsi="Times New Roman" w:eastAsia="宋体" w:cs="Times New Roman"/>
                <w:color w:val="000000" w:themeColor="text1"/>
                <w:szCs w:val="21"/>
              </w:rPr>
              <w:t>本项目新建一台2.5t/h燃气导热油炉，一台燃气的加热炉用于生产供热。一台1t/h燃气热水锅炉用于生活供热，均采用天然气作为原料，导热油炉采用一根20m高的排气筒进行排放，加热炉采用20m高的排气筒进行排放，生活燃气锅炉采用15m高的排气筒进行排放。废气污染物主要为锅炉、加热炉加热烟气中SO</w:t>
            </w:r>
            <w:r>
              <w:rPr>
                <w:rFonts w:ascii="Times New Roman" w:hAnsi="Times New Roman" w:eastAsia="宋体" w:cs="Times New Roman"/>
                <w:color w:val="000000" w:themeColor="text1"/>
                <w:szCs w:val="21"/>
                <w:vertAlign w:val="subscript"/>
              </w:rPr>
              <w:t>2</w:t>
            </w:r>
            <w:r>
              <w:rPr>
                <w:rFonts w:ascii="Times New Roman" w:hAnsi="Times New Roman" w:eastAsia="宋体" w:cs="Times New Roman"/>
                <w:color w:val="000000" w:themeColor="text1"/>
                <w:szCs w:val="21"/>
              </w:rPr>
              <w:t>、NOx、颗粒物。锅炉烟气中的颗粒物、SO</w:t>
            </w:r>
            <w:r>
              <w:rPr>
                <w:rFonts w:ascii="Times New Roman" w:hAnsi="Times New Roman" w:eastAsia="宋体" w:cs="Times New Roman"/>
                <w:color w:val="000000" w:themeColor="text1"/>
                <w:szCs w:val="21"/>
                <w:vertAlign w:val="subscript"/>
              </w:rPr>
              <w:t>2</w:t>
            </w:r>
            <w:r>
              <w:rPr>
                <w:rFonts w:ascii="Times New Roman" w:hAnsi="Times New Roman" w:eastAsia="宋体" w:cs="Times New Roman"/>
                <w:color w:val="000000" w:themeColor="text1"/>
                <w:szCs w:val="21"/>
              </w:rPr>
              <w:t>及NOx的排放浓度均满足《锅炉大气污染物排放标准》（GB13271-2014）表2新建燃气锅炉大气污染物排放浓度限值，加热炉满足《工业炉窑大气污染物排放标准》（GB9078-1996）二级标准，对周围的环境空气质量影响较小。</w:t>
            </w:r>
          </w:p>
          <w:p>
            <w:pPr>
              <w:adjustRightInd w:val="0"/>
              <w:snapToGrid w:val="0"/>
              <w:spacing w:line="500" w:lineRule="exact"/>
              <w:ind w:firstLine="420" w:firstLineChars="200"/>
              <w:jc w:val="left"/>
              <w:rPr>
                <w:rFonts w:ascii="Times New Roman" w:hAnsi="Times New Roman" w:eastAsia="宋体" w:cs="Times New Roman"/>
                <w:color w:val="000000" w:themeColor="text1"/>
                <w:szCs w:val="21"/>
              </w:rPr>
            </w:pPr>
            <w:r>
              <w:rPr>
                <w:rFonts w:ascii="宋体" w:hAnsi="Times New Roman" w:eastAsia="宋体" w:cs="Times New Roman"/>
                <w:color w:val="000000" w:themeColor="text1"/>
                <w:szCs w:val="21"/>
              </w:rPr>
              <w:t>④</w:t>
            </w:r>
            <w:r>
              <w:rPr>
                <w:rFonts w:ascii="Times New Roman" w:hAnsi="Times New Roman" w:eastAsia="宋体" w:cs="Times New Roman"/>
                <w:color w:val="000000" w:themeColor="text1"/>
                <w:szCs w:val="21"/>
              </w:rPr>
              <w:t>碎石、石屑在干燥筒内烘干加热，干燥筒在不停的转动过程中使骨料间接受热均匀时会产生粉尘。经布袋除尘器收集后经15m高的排气筒排放。满足《大气污染物综合排放标准》（GB16297-1996）二级排放标准，对环境空气影响较小。</w:t>
            </w:r>
          </w:p>
          <w:p>
            <w:pPr>
              <w:spacing w:line="500" w:lineRule="exact"/>
              <w:ind w:firstLine="420" w:firstLineChars="200"/>
              <w:rPr>
                <w:rFonts w:ascii="Times New Roman" w:hAnsi="Times New Roman" w:eastAsia="宋体" w:cs="Times New Roman"/>
                <w:color w:val="000000" w:themeColor="text1"/>
                <w:szCs w:val="21"/>
              </w:rPr>
            </w:pPr>
            <w:r>
              <w:rPr>
                <w:rFonts w:ascii="Times New Roman" w:hAnsi="Times New Roman" w:eastAsia="宋体" w:cs="Times New Roman"/>
                <w:color w:val="000000" w:themeColor="text1"/>
                <w:szCs w:val="21"/>
              </w:rPr>
              <w:t>本项目在碎石、矿粉卸料和堆放过程以及输送过程会产生少量的无组织粉尘，本项目各生产工序均采用电脑集中控制，各工序的连锁、联动的协调性、安全性非常强，原料的输送、计量、投料等仅有少部分粉尘排放，为了减少无组织粉尘的排放量，建设单位应进一步强化管理：加强绿化，改善厂区内环境；对仓库定期派专人进行洒水、用防尘网覆盖；做好设备的密闭，减少粉尘无组织排放量。</w:t>
            </w:r>
          </w:p>
          <w:p>
            <w:pPr>
              <w:adjustRightInd w:val="0"/>
              <w:snapToGrid w:val="0"/>
              <w:spacing w:line="500" w:lineRule="exact"/>
              <w:ind w:firstLine="420" w:firstLineChars="200"/>
              <w:rPr>
                <w:rFonts w:ascii="Times New Roman" w:hAnsi="Times New Roman" w:eastAsia="宋体" w:cs="Times New Roman"/>
                <w:color w:val="000000" w:themeColor="text1"/>
                <w:szCs w:val="21"/>
              </w:rPr>
            </w:pPr>
            <w:r>
              <w:rPr>
                <w:rFonts w:ascii="Times New Roman" w:hAnsi="Times New Roman" w:eastAsia="宋体" w:cs="Times New Roman"/>
                <w:color w:val="000000" w:themeColor="text1"/>
                <w:szCs w:val="21"/>
              </w:rPr>
              <w:t>⑤项目安装净化效率为60%的油烟净化设备，满足《饮食业油烟排放标准（试行）》（GB18483-2001）（小型）中油烟排放浓度≤2.0mg/m</w:t>
            </w:r>
            <w:r>
              <w:rPr>
                <w:rFonts w:ascii="Times New Roman" w:hAnsi="Times New Roman" w:eastAsia="宋体" w:cs="Times New Roman"/>
                <w:color w:val="000000" w:themeColor="text1"/>
                <w:szCs w:val="21"/>
                <w:vertAlign w:val="superscript"/>
              </w:rPr>
              <w:t>3</w:t>
            </w:r>
            <w:r>
              <w:rPr>
                <w:rFonts w:ascii="Times New Roman" w:hAnsi="Times New Roman" w:eastAsia="宋体" w:cs="Times New Roman"/>
                <w:color w:val="000000" w:themeColor="text1"/>
                <w:szCs w:val="21"/>
              </w:rPr>
              <w:t>的要求，油烟经专用烟道引至房顶排放。对周围环境空气影响较小。</w:t>
            </w:r>
          </w:p>
          <w:p>
            <w:pPr>
              <w:keepNext/>
              <w:spacing w:line="500" w:lineRule="exact"/>
              <w:ind w:firstLine="420" w:firstLineChars="200"/>
              <w:rPr>
                <w:rFonts w:ascii="Times New Roman" w:hAnsi="Times New Roman" w:eastAsia="宋体" w:cs="Times New Roman"/>
                <w:color w:val="000000" w:themeColor="text1"/>
                <w:szCs w:val="21"/>
              </w:rPr>
            </w:pPr>
            <w:r>
              <w:rPr>
                <w:rFonts w:ascii="Times New Roman" w:hAnsi="Times New Roman" w:eastAsia="宋体" w:cs="Times New Roman"/>
                <w:color w:val="000000" w:themeColor="text1"/>
                <w:szCs w:val="21"/>
              </w:rPr>
              <w:t>（2）水环境影响评价结论</w:t>
            </w:r>
          </w:p>
          <w:p>
            <w:pPr>
              <w:spacing w:line="500" w:lineRule="exact"/>
              <w:ind w:firstLine="420" w:firstLineChars="200"/>
              <w:rPr>
                <w:rFonts w:ascii="Times New Roman" w:hAnsi="Times New Roman" w:eastAsia="宋体" w:cs="Times New Roman"/>
                <w:color w:val="000000" w:themeColor="text1"/>
                <w:szCs w:val="21"/>
                <w:lang w:val="zh-CN"/>
              </w:rPr>
            </w:pPr>
            <w:r>
              <w:rPr>
                <w:rFonts w:ascii="Times New Roman" w:hAnsi="Times New Roman" w:eastAsia="宋体" w:cs="Times New Roman"/>
                <w:color w:val="000000" w:themeColor="text1"/>
                <w:szCs w:val="21"/>
                <w:lang w:val="zh-CN"/>
              </w:rPr>
              <w:t>本项目不产生生产废水，</w:t>
            </w:r>
            <w:r>
              <w:rPr>
                <w:rFonts w:ascii="Times New Roman" w:hAnsi="Times New Roman" w:eastAsia="宋体" w:cs="Times New Roman"/>
                <w:color w:val="000000" w:themeColor="text1"/>
                <w:szCs w:val="21"/>
              </w:rPr>
              <w:t>生活污水排入自建的防渗污水池收集</w:t>
            </w:r>
            <w:r>
              <w:rPr>
                <w:rFonts w:hint="eastAsia" w:ascii="Times New Roman" w:hAnsi="Times New Roman" w:eastAsia="宋体" w:cs="Times New Roman"/>
                <w:color w:val="000000" w:themeColor="text1"/>
                <w:szCs w:val="21"/>
              </w:rPr>
              <w:t>后送</w:t>
            </w:r>
            <w:r>
              <w:rPr>
                <w:rFonts w:ascii="Times New Roman" w:hAnsi="Times New Roman" w:eastAsia="宋体" w:cs="Times New Roman"/>
                <w:color w:val="000000" w:themeColor="text1"/>
                <w:szCs w:val="21"/>
              </w:rPr>
              <w:t>至大庆东城区污水处理厂处理后排入北二十里泡</w:t>
            </w:r>
            <w:r>
              <w:rPr>
                <w:rFonts w:ascii="Times New Roman" w:hAnsi="Times New Roman" w:eastAsia="宋体" w:cs="Times New Roman"/>
                <w:color w:val="000000" w:themeColor="text1"/>
                <w:szCs w:val="21"/>
                <w:lang w:val="zh-CN"/>
              </w:rPr>
              <w:t>。</w:t>
            </w:r>
            <w:r>
              <w:rPr>
                <w:rFonts w:ascii="Times New Roman" w:hAnsi="Times New Roman" w:eastAsia="宋体" w:cs="Times New Roman"/>
                <w:color w:val="000000" w:themeColor="text1"/>
                <w:szCs w:val="21"/>
              </w:rPr>
              <w:t>基础必须防渗，防渗层为1m厚的粘土层，渗透系数≤10</w:t>
            </w:r>
            <w:r>
              <w:rPr>
                <w:rFonts w:ascii="Times New Roman" w:hAnsi="Times New Roman" w:eastAsia="宋体" w:cs="Times New Roman"/>
                <w:color w:val="000000" w:themeColor="text1"/>
                <w:szCs w:val="21"/>
                <w:vertAlign w:val="superscript"/>
              </w:rPr>
              <w:t>-7</w:t>
            </w:r>
            <w:r>
              <w:rPr>
                <w:rFonts w:ascii="Times New Roman" w:hAnsi="Times New Roman" w:eastAsia="宋体" w:cs="Times New Roman"/>
                <w:color w:val="000000" w:themeColor="text1"/>
                <w:szCs w:val="21"/>
              </w:rPr>
              <w:t>cm/s</w:t>
            </w:r>
            <w:r>
              <w:rPr>
                <w:rFonts w:ascii="Times New Roman" w:hAnsi="Times New Roman" w:eastAsia="宋体" w:cs="Times New Roman"/>
                <w:color w:val="000000" w:themeColor="text1"/>
                <w:szCs w:val="21"/>
                <w:lang w:val="zh-CN"/>
              </w:rPr>
              <w:t>。因此本项目产生的废水对周边地表水的影响较小</w:t>
            </w:r>
            <w:r>
              <w:rPr>
                <w:rFonts w:ascii="Times New Roman" w:hAnsi="Times New Roman" w:eastAsia="宋体" w:cs="Times New Roman"/>
                <w:color w:val="000000" w:themeColor="text1"/>
                <w:szCs w:val="21"/>
              </w:rPr>
              <w:t>。</w:t>
            </w:r>
          </w:p>
          <w:p>
            <w:pPr>
              <w:keepNext/>
              <w:spacing w:line="500" w:lineRule="exact"/>
              <w:ind w:firstLine="420" w:firstLineChars="200"/>
              <w:rPr>
                <w:rFonts w:ascii="Times New Roman" w:hAnsi="Times New Roman" w:eastAsia="宋体" w:cs="Times New Roman"/>
                <w:color w:val="000000" w:themeColor="text1"/>
                <w:szCs w:val="21"/>
              </w:rPr>
            </w:pPr>
            <w:r>
              <w:rPr>
                <w:rFonts w:ascii="Times New Roman" w:hAnsi="Times New Roman" w:eastAsia="宋体" w:cs="Times New Roman"/>
                <w:color w:val="000000" w:themeColor="text1"/>
                <w:szCs w:val="21"/>
              </w:rPr>
              <w:t>（3）固体废物环境影响评价结论</w:t>
            </w:r>
          </w:p>
          <w:p>
            <w:pPr>
              <w:pStyle w:val="28"/>
              <w:ind w:firstLine="420"/>
              <w:rPr>
                <w:rFonts w:ascii="Times New Roman" w:hAnsi="Times New Roman" w:eastAsia="宋体" w:cs="Times New Roman"/>
                <w:color w:val="000000" w:themeColor="text1"/>
                <w:spacing w:val="0"/>
                <w:kern w:val="2"/>
                <w:sz w:val="21"/>
                <w:szCs w:val="21"/>
              </w:rPr>
            </w:pPr>
            <w:r>
              <w:rPr>
                <w:rFonts w:ascii="Times New Roman" w:hAnsi="Times New Roman" w:eastAsia="宋体" w:cs="Times New Roman"/>
                <w:color w:val="000000" w:themeColor="text1"/>
                <w:spacing w:val="0"/>
                <w:kern w:val="2"/>
                <w:sz w:val="21"/>
                <w:szCs w:val="21"/>
              </w:rPr>
              <w:t>本项目运营期产生的固体废物在采取本报告表所述处理处置措施后，固体废物得到妥善处置与处理，有利用价值的废物得到再利用，固体废物处理处置满足“资源化、减量化、无害化”原则，项目运营所产生的固体废物对环境不会构成显著性不良影响。</w:t>
            </w:r>
          </w:p>
          <w:p>
            <w:pPr>
              <w:keepNext/>
              <w:spacing w:line="500" w:lineRule="exact"/>
              <w:ind w:firstLine="420" w:firstLineChars="200"/>
              <w:rPr>
                <w:rFonts w:ascii="Times New Roman" w:hAnsi="Times New Roman" w:eastAsia="宋体" w:cs="Times New Roman"/>
                <w:color w:val="000000" w:themeColor="text1"/>
                <w:szCs w:val="21"/>
              </w:rPr>
            </w:pPr>
            <w:r>
              <w:rPr>
                <w:rFonts w:ascii="Times New Roman" w:hAnsi="Times New Roman" w:eastAsia="宋体" w:cs="Times New Roman"/>
                <w:color w:val="000000" w:themeColor="text1"/>
                <w:szCs w:val="21"/>
              </w:rPr>
              <w:t>（4）声环境影响评价结论</w:t>
            </w:r>
          </w:p>
          <w:p>
            <w:pPr>
              <w:spacing w:line="500" w:lineRule="exact"/>
              <w:ind w:firstLine="420" w:firstLineChars="200"/>
              <w:rPr>
                <w:rFonts w:ascii="Times New Roman" w:hAnsi="Times New Roman" w:eastAsia="宋体" w:cs="Times New Roman"/>
                <w:color w:val="000000" w:themeColor="text1"/>
                <w:szCs w:val="21"/>
                <w:lang w:val="zh-CN"/>
              </w:rPr>
            </w:pPr>
            <w:r>
              <w:rPr>
                <w:rFonts w:ascii="Times New Roman" w:hAnsi="Times New Roman" w:eastAsia="宋体" w:cs="Times New Roman"/>
                <w:color w:val="000000" w:themeColor="text1"/>
                <w:szCs w:val="21"/>
              </w:rPr>
              <w:t>本项目要求对产生噪声的设备进行合理布局，设置减震垫，可减少噪声对环境的影响。经上述处理后，噪声随着距离的增加而衰减，厂界噪声值能达到《工业企业厂界环境噪声排放标准》（GB12348-2008）2类标准要求，不会对外环境的产生不良影响。</w:t>
            </w:r>
          </w:p>
          <w:p>
            <w:pPr>
              <w:keepNext/>
              <w:spacing w:line="500" w:lineRule="exact"/>
              <w:ind w:firstLine="420" w:firstLineChars="200"/>
              <w:rPr>
                <w:rFonts w:ascii="Times New Roman" w:hAnsi="Times New Roman" w:eastAsia="宋体" w:cs="Times New Roman"/>
                <w:color w:val="000000" w:themeColor="text1"/>
                <w:szCs w:val="21"/>
              </w:rPr>
            </w:pPr>
            <w:r>
              <w:rPr>
                <w:rFonts w:ascii="Times New Roman" w:hAnsi="Times New Roman" w:eastAsia="宋体" w:cs="Times New Roman"/>
                <w:color w:val="000000" w:themeColor="text1"/>
                <w:szCs w:val="21"/>
              </w:rPr>
              <w:t>（5）环境风险影响评价结论</w:t>
            </w:r>
          </w:p>
          <w:p>
            <w:pPr>
              <w:keepNext/>
              <w:spacing w:line="500" w:lineRule="exact"/>
              <w:ind w:firstLine="420" w:firstLineChars="200"/>
              <w:rPr>
                <w:rFonts w:ascii="Times New Roman" w:hAnsi="Times New Roman" w:eastAsia="宋体" w:cs="Times New Roman"/>
                <w:color w:val="000000" w:themeColor="text1"/>
                <w:szCs w:val="21"/>
              </w:rPr>
            </w:pPr>
            <w:r>
              <w:rPr>
                <w:rFonts w:ascii="Times New Roman" w:hAnsi="Times New Roman" w:eastAsia="宋体" w:cs="Times New Roman"/>
                <w:color w:val="000000" w:themeColor="text1"/>
                <w:szCs w:val="21"/>
              </w:rPr>
              <w:t>在严格落实环评报告表中提出的风险防范措施，杜绝事故发生的前提下，该项目环境风险处于可接受水平，在严格落实风险管理及应急措施后，可将风险发生的概率和影响后果降到最低限度。</w:t>
            </w:r>
          </w:p>
          <w:p>
            <w:pPr>
              <w:pStyle w:val="27"/>
              <w:keepNext/>
              <w:ind w:firstLine="420"/>
              <w:rPr>
                <w:rFonts w:ascii="Times New Roman" w:hAnsi="Times New Roman" w:eastAsia="宋体" w:cs="Times New Roman"/>
                <w:bCs/>
                <w:color w:val="000000" w:themeColor="text1"/>
                <w:sz w:val="21"/>
                <w:szCs w:val="21"/>
              </w:rPr>
            </w:pPr>
            <w:r>
              <w:rPr>
                <w:rFonts w:ascii="Times New Roman" w:hAnsi="Times New Roman" w:eastAsia="宋体" w:cs="Times New Roman"/>
                <w:bCs/>
                <w:color w:val="000000" w:themeColor="text1"/>
                <w:sz w:val="21"/>
                <w:szCs w:val="21"/>
              </w:rPr>
              <w:t>4、综合结论</w:t>
            </w:r>
          </w:p>
          <w:p>
            <w:pPr>
              <w:keepNext/>
              <w:spacing w:line="500" w:lineRule="exact"/>
              <w:ind w:firstLine="420" w:firstLineChars="200"/>
              <w:rPr>
                <w:rFonts w:ascii="Times New Roman" w:hAnsi="Times New Roman" w:eastAsia="宋体" w:cs="Times New Roman"/>
                <w:color w:val="000000" w:themeColor="text1"/>
                <w:szCs w:val="21"/>
              </w:rPr>
            </w:pPr>
            <w:r>
              <w:rPr>
                <w:rFonts w:ascii="Times New Roman" w:hAnsi="Times New Roman" w:eastAsia="宋体" w:cs="Times New Roman"/>
                <w:color w:val="000000" w:themeColor="text1"/>
                <w:szCs w:val="21"/>
              </w:rPr>
              <w:t>本项目建设符合国家政策，在采取本环评报告表所要求的污染防治措施并保证其正常运行的前提下，严格落实本报告提出的环保措施，可以做到各类污染物达标排放，对当地环境影响较小，对环境的影响是可以接受的。因此，本项目建设从环境保护的角度讲是可行的。</w:t>
            </w:r>
          </w:p>
          <w:p>
            <w:pPr>
              <w:pStyle w:val="27"/>
              <w:keepNext/>
              <w:ind w:firstLine="420"/>
              <w:rPr>
                <w:rFonts w:ascii="Times New Roman" w:hAnsi="Times New Roman" w:eastAsia="宋体" w:cs="Times New Roman"/>
                <w:bCs/>
                <w:color w:val="000000" w:themeColor="text1"/>
                <w:sz w:val="21"/>
                <w:szCs w:val="21"/>
              </w:rPr>
            </w:pPr>
            <w:r>
              <w:rPr>
                <w:rFonts w:ascii="Times New Roman" w:hAnsi="Times New Roman" w:eastAsia="宋体" w:cs="Times New Roman"/>
                <w:bCs/>
                <w:color w:val="000000" w:themeColor="text1"/>
                <w:sz w:val="21"/>
                <w:szCs w:val="21"/>
              </w:rPr>
              <w:t>5、建议</w:t>
            </w:r>
          </w:p>
          <w:p>
            <w:pPr>
              <w:pStyle w:val="27"/>
              <w:keepNext/>
              <w:ind w:firstLine="420"/>
              <w:rPr>
                <w:rFonts w:ascii="Times New Roman" w:hAnsi="Times New Roman" w:eastAsia="宋体" w:cs="Times New Roman"/>
                <w:bCs/>
                <w:sz w:val="21"/>
                <w:szCs w:val="21"/>
              </w:rPr>
            </w:pPr>
            <w:r>
              <w:rPr>
                <w:rFonts w:ascii="Times New Roman" w:hAnsi="Times New Roman" w:cs="Times New Roman"/>
                <w:color w:val="000000" w:themeColor="text1"/>
                <w:sz w:val="21"/>
                <w:szCs w:val="21"/>
              </w:rPr>
              <w:t>项目的环境管理部门要依法执行环境保护设施与主体工程同时设计、同时施工、同时投产使用的“三同时”制度，认真贯彻清洁生产原则，协调好发展生产与保护环境的关系，并搞好本项目建设。</w:t>
            </w:r>
          </w:p>
          <w:p>
            <w:pPr>
              <w:pStyle w:val="27"/>
              <w:keepNext/>
              <w:ind w:firstLine="420"/>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（二）审批部门审批决定</w:t>
            </w:r>
          </w:p>
          <w:p>
            <w:pPr>
              <w:keepNext/>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大庆市龙凤区环境保护局文件《关于黑龙江路原环保型沥青（彩色）混凝土拌合站建设项目环境影响报告表的批复》龙环建审[2020]20号，批复内容如下：</w:t>
            </w:r>
          </w:p>
          <w:p>
            <w:pPr>
              <w:keepNext/>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黑龙江路原沥青混凝土有限公司：</w:t>
            </w:r>
          </w:p>
          <w:p>
            <w:pPr>
              <w:keepNext/>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你单位上报的《关于黑龙江路原环保型沥青（彩色）混凝土拌合站建设项目环境影响报告表》（以下简称《报告表》）收悉，经专家技术审查，我局讨论研究后，批复如下：</w:t>
            </w:r>
          </w:p>
          <w:p>
            <w:pPr>
              <w:keepNext/>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一、该项目该项目建设性质为新建。项目备案2019-230603-30-03-085768号。项目购置安装 DG4000 型沥青拌合站1套、乳化沥青设备1套等生产设备新建一条沥青混凝土的生产线，安装1台2.5t/h燃气导热油炉，1套燃气加热炉用于生产，1 台1t力燃气热水锅炉用于冬季办公区供暖。项目建成后可年产35万m</w:t>
            </w:r>
            <w:r>
              <w:rPr>
                <w:rFonts w:ascii="Times New Roman" w:hAnsi="Times New Roman" w:eastAsia="宋体" w:cs="Times New Roman"/>
                <w:szCs w:val="21"/>
                <w:vertAlign w:val="superscript"/>
              </w:rPr>
              <w:t>3</w:t>
            </w:r>
            <w:r>
              <w:rPr>
                <w:rFonts w:ascii="Times New Roman" w:hAnsi="Times New Roman" w:eastAsia="宋体" w:cs="Times New Roman"/>
                <w:szCs w:val="21"/>
              </w:rPr>
              <w:t>沥青混凝土，其中普通沥青混凝土30万m</w:t>
            </w:r>
            <w:r>
              <w:rPr>
                <w:rFonts w:ascii="Times New Roman" w:hAnsi="Times New Roman" w:eastAsia="宋体" w:cs="Times New Roman"/>
                <w:szCs w:val="21"/>
                <w:vertAlign w:val="superscript"/>
              </w:rPr>
              <w:t>3</w:t>
            </w:r>
            <w:r>
              <w:rPr>
                <w:rFonts w:ascii="Times New Roman" w:hAnsi="Times New Roman" w:eastAsia="宋体" w:cs="Times New Roman"/>
                <w:szCs w:val="21"/>
              </w:rPr>
              <w:t>，彩色沥青混凝土5万m</w:t>
            </w:r>
            <w:r>
              <w:rPr>
                <w:rFonts w:ascii="Times New Roman" w:hAnsi="Times New Roman" w:eastAsia="宋体" w:cs="Times New Roman"/>
                <w:szCs w:val="21"/>
                <w:vertAlign w:val="superscript"/>
              </w:rPr>
              <w:t>3</w:t>
            </w:r>
            <w:r>
              <w:rPr>
                <w:rFonts w:ascii="Times New Roman" w:hAnsi="Times New Roman" w:eastAsia="宋体" w:cs="Times New Roman"/>
                <w:szCs w:val="21"/>
              </w:rPr>
              <w:t>。本项目位于大庆市龙凤区光明产业园区内外环东路北侧，规划三号街东侧；总占地面积为 34871.87m</w:t>
            </w:r>
            <w:r>
              <w:rPr>
                <w:rFonts w:ascii="Times New Roman" w:hAnsi="Times New Roman" w:eastAsia="宋体" w:cs="Times New Roman"/>
                <w:szCs w:val="21"/>
                <w:vertAlign w:val="superscript"/>
              </w:rPr>
              <w:t>2</w:t>
            </w:r>
            <w:r>
              <w:rPr>
                <w:rFonts w:ascii="Times New Roman" w:hAnsi="Times New Roman" w:eastAsia="宋体" w:cs="Times New Roman"/>
                <w:szCs w:val="21"/>
              </w:rPr>
              <w:t>。</w:t>
            </w:r>
          </w:p>
          <w:p>
            <w:pPr>
              <w:keepNext/>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二、严格按照《报告表》所列的项目性质、规模、地点，建设内容、环境风险防范和环境保护等措施进行建设和管理。</w:t>
            </w:r>
          </w:p>
          <w:p>
            <w:pPr>
              <w:keepNext/>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三、项目建设期及运营期应重点做好以下几方面的工作：</w:t>
            </w:r>
          </w:p>
          <w:p>
            <w:pPr>
              <w:keepNext/>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一）加强施工期的环境管理工作，施工期产生的施工废水经收集、沉淀处理后用于场内酒水压坐；生活污水通过拉运至大庆市东城区污水处理厂处理后排入北二十里泡，达标后排放。运营期不产生生产废水，生活污水排入自建的防渗污水池收集，定期拉运至大庆市东城区污水处理厂处理达标后排入北二十里泡。</w:t>
            </w:r>
          </w:p>
          <w:p>
            <w:pPr>
              <w:keepNext/>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（二）施工扬坐需在施工场地酒水降尘、设置围挡，运输过程加盖甜布，产生的扬尘应满足 《大气污染物综合排放标准》(GB16297-1996）表2中的无组织排放限值要求。</w:t>
            </w:r>
          </w:p>
          <w:p>
            <w:pPr>
              <w:keepNext/>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三）施工期施工人员产生的生活垃圾，统一收集，委托环卫部门处理；建筑垃圾由运输车拉运至附近建筑垃圾消纳场。运营期生活垃圾设置简易垃圾桶进行收集，生活垃圾经收集后定期拉运至城市垃圾填埋场处理；废石料、除尘器收集的固废经集中收集后，外售综合利用;废活性炭、废导热油经收集后暫存于危废晢存间，定期交由有相应资质的危险废物处置单位处置，并做好台账。</w:t>
            </w:r>
          </w:p>
          <w:p>
            <w:pPr>
              <w:keepNext/>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四）施工期应加强噪声治理措施，合理安排施工时间，选用低噪声设备，产生的噪声应满足《建筑施工场界环境噪声排放标准》(GB12523-2011）中标准限值要求。运营期厂界噪声符合《工业企业厂界环境噪声排放标准》(GB12348-2008） 表1中3类标准要求。</w:t>
            </w:r>
          </w:p>
          <w:p>
            <w:pPr>
              <w:keepNext/>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五）运营期产生的废气主要为粉尘、沥青烟、苯并[a]芘、加热炉烟气、燃气锅炉废气和食堂油烟。原料碎石、石屑在烘干滚简内加热时会产生粉尘，经布袋除尘器处理后，由15m高的排气筒排放，满足《大气污染物综合排放标准》(GB16297-1996)级排放标准；碎石、矿粉卸料和堆放过程以及输送过程会产生的粉尘，企业强化管理，加强绿化，对仓库定期派专人进行酒水、用防尘网覆盖，无组织排放的粉尘浓度满足《大气污染物综合排放标准》(GB16297-1996） 无组织排放监控浓度限值；沥青经加热后进入搅拌装置作业过程中产生沥青烟和苯并（a）芘，活性炭吸附装置内处理后，由15m高的烟囱排放，排放浓度满足《大气污染物综合排放标准》(GB16297-1996） 二级排放标准；燃气加热炉烟气经20m高烟肉排放，污染物排放浓度满足《工业炉窑大气污染物排放标准》(GB9078-1996）二级标准；导热油炉烟气经20m高烟囱排放，冬季供暖锅炉烟气经15m高烟囱排放，颗粒物、SO</w:t>
            </w:r>
            <w:r>
              <w:rPr>
                <w:rFonts w:ascii="Times New Roman" w:hAnsi="Times New Roman" w:eastAsia="宋体" w:cs="Times New Roman"/>
                <w:szCs w:val="21"/>
                <w:vertAlign w:val="subscript"/>
              </w:rPr>
              <w:t>2</w:t>
            </w:r>
            <w:r>
              <w:rPr>
                <w:rFonts w:ascii="Times New Roman" w:hAnsi="Times New Roman" w:eastAsia="宋体" w:cs="Times New Roman"/>
                <w:szCs w:val="21"/>
              </w:rPr>
              <w:t>及NOx的排放浓度满足《锅炉大气污染物排放标准》(GB13271-2014）表2新建燃气锅炉大气污染物排放浓度限值；食堂油烟满足《饮食业油烟排放标准（试行)》(GB18483-2001）（小型）中油烟排放浓度≤2.0mg/m3的要求，经专用烟道引至房顶排放。</w:t>
            </w:r>
          </w:p>
          <w:p>
            <w:pPr>
              <w:keepNext/>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四、你公司应建立企业内部环境管理机构和制度，明确人员和职责。项目实施必须严格执行环境保护“三同时”制度。经验收合格后，方能投入正式运行。</w:t>
            </w:r>
          </w:p>
          <w:p>
            <w:pPr>
              <w:keepNext/>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五、自本批复文件发布之日起，建设项目的性质、规模、地点、采用的生产工艺或者防治污染、防止生态破坏的措施发生重大变动的，建设单位应当重新报批建设项目的环境影响评价文件。自本批复文件发布之日起超过五年，方决定该项目开工建设的，其环境影响评价文件应当报我局重新审核。</w:t>
            </w:r>
          </w:p>
          <w:p>
            <w:pPr>
              <w:keepNext/>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六、该项目由龙凤区环境监察部门负责该项目环境监督管理工作。</w:t>
            </w:r>
          </w:p>
          <w:p>
            <w:pPr>
              <w:pStyle w:val="2"/>
              <w:rPr>
                <w:rFonts w:ascii="Times New Roman" w:hAnsi="Times New Roman" w:eastAsia="宋体" w:cs="Times New Roman"/>
                <w:szCs w:val="21"/>
              </w:rPr>
            </w:pPr>
          </w:p>
          <w:p>
            <w:pPr>
              <w:pStyle w:val="2"/>
              <w:rPr>
                <w:rFonts w:ascii="Times New Roman" w:hAnsi="Times New Roman" w:eastAsia="宋体" w:cs="Times New Roman"/>
                <w:szCs w:val="21"/>
              </w:rPr>
            </w:pPr>
          </w:p>
        </w:tc>
      </w:tr>
    </w:tbl>
    <w:p>
      <w:pPr>
        <w:outlineLvl w:val="0"/>
        <w:rPr>
          <w:rFonts w:ascii="Times New Roman" w:hAnsi="Times New Roman" w:eastAsia="黑体" w:cs="Times New Roman"/>
          <w:bCs/>
          <w:sz w:val="24"/>
        </w:rPr>
      </w:pPr>
      <w:bookmarkStart w:id="10" w:name="_Toc3539"/>
      <w:r>
        <w:rPr>
          <w:rFonts w:ascii="Times New Roman" w:hAnsi="Times New Roman" w:eastAsia="黑体" w:cs="Times New Roman"/>
          <w:bCs/>
          <w:sz w:val="24"/>
        </w:rPr>
        <w:t>表五</w:t>
      </w:r>
      <w:bookmarkEnd w:id="10"/>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39" w:hRule="atLeast"/>
        </w:trPr>
        <w:tc>
          <w:tcPr>
            <w:tcW w:w="5000" w:type="pct"/>
          </w:tcPr>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验收监测质量保证及质量控制：</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1、采样现场的质量保证</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工况控制是保证验收监测取得真实可靠监测结果的前提。采取必要的核查手段对监测期间的产品生产规模、设备运转出力情况进行严格的控制，保证验收监测必须达到的生产负荷。可通过核定原料投入量、产品产量、能源（水、电、汽、煤、油等）消耗量、“三废”排放量、观察生产设施中的仪表（如压力表、温度计、流量计等）和检查操作台帐记录、了解职工当班人数等方法考察监测期间的工况。生产负荷达不到验收监测条件应即刻停止现场采样和测试。</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2、废气监测质量保证</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大气采样器、烟尘测试仪、气象包等现场监测仪器，在使用前要进行检查（检漏），烟尘测试仪要检查皮托管和采样嘴，以防变形或损坏，流量计要进行校准。</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按方案确定监测点位和采样频次进行采样，不得擅自改变监测点位，不得采取加大流量的手段缩短采样时间。</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采样的同时测定测点的气温、气压、风速、风向等，同时记录测点周围的人为污染源情况等。规范要求避光采样的须避光采样，要求保温采样的要保温采样。</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采样期间，采样人员要坚守岗位，随时观察流量计的运行情况，防止流量发生变化。</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采样结束后，应将样品封闭，防止与空气接触发生变化，并尽快送检。</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大雾、雨雪、风速过大天气应停止采样。</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3、噪声监测质量保证</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噪声监测仪在使用前要进行校准；在规定的天气条件下进行监测；按照方案要求布点监测；按照规范对背景噪声进行必要的扣除。</w:t>
            </w:r>
          </w:p>
          <w:p>
            <w:pPr>
              <w:numPr>
                <w:ilvl w:val="0"/>
                <w:numId w:val="1"/>
              </w:num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废水监测质量保证</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现场采样时，采集不少于总采样数的10%平行双样作为采样现场质控样，按密码样方式移交实验室分析（除pH、悬浮物）。</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采样容器须经洗涤合格后方能使用。</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采样人员作好详细的现场记录，样品送入实验室应做好交接并记录。</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5、实验室质量保证</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（1）所有参加本次环境监测的现场采样、实验室分析人员，均经过技术培训、安全教育，并持有上岗证进行工作。</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（2）所用分析仪器必须经过计量部门检定，并在有效期内；</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（3）优先采用国标或方案确定的分析方法，不得擅自改变分析方法或使用不合规范的方法；</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（4）按规定要求，增加不少于10%加标样；</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（5）样品应在规定的条件下保存，并在规定的保存期内完成测试。</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本次监测的质量保证严格按照《质量手册》、《程序文件》等质量体系文件的要求，实施全过程质量控制。为了确保监测数据的代表性、完整性、可比性、精密性和准确性，本次监测对监测的全过程（包括布点、采样、样品贮运、实验室分析、数据处理等）进行质量控制。具体质控措施如下：</w:t>
            </w:r>
          </w:p>
          <w:p>
            <w:pPr>
              <w:widowControl/>
              <w:adjustRightInd w:val="0"/>
              <w:snapToGrid w:val="0"/>
              <w:spacing w:line="500" w:lineRule="exact"/>
              <w:ind w:firstLine="420" w:firstLineChars="200"/>
              <w:jc w:val="left"/>
              <w:rPr>
                <w:rFonts w:ascii="Times New Roman" w:hAnsi="Times New Roman" w:eastAsia="宋体" w:cs="Times New Roman"/>
                <w:bCs/>
                <w:szCs w:val="21"/>
              </w:rPr>
            </w:pPr>
            <w:r>
              <w:rPr>
                <w:rFonts w:ascii="Times New Roman" w:hAnsi="Times New Roman" w:eastAsia="宋体" w:cs="Times New Roman"/>
                <w:szCs w:val="21"/>
              </w:rPr>
              <w:t>（1）及时了解工况情况，保证监测过程中生产正常运行。合理布设监测点位，保证各监测点位布设的科学性和可比性。</w:t>
            </w:r>
          </w:p>
          <w:p>
            <w:pPr>
              <w:widowControl/>
              <w:adjustRightInd w:val="0"/>
              <w:snapToGrid w:val="0"/>
              <w:spacing w:line="500" w:lineRule="exact"/>
              <w:ind w:firstLine="420" w:firstLineChars="200"/>
              <w:jc w:val="left"/>
              <w:rPr>
                <w:rFonts w:ascii="Times New Roman" w:hAnsi="Times New Roman" w:eastAsia="宋体" w:cs="Times New Roman"/>
                <w:bCs/>
                <w:szCs w:val="21"/>
              </w:rPr>
            </w:pPr>
            <w:r>
              <w:rPr>
                <w:rFonts w:ascii="Times New Roman" w:hAnsi="Times New Roman" w:eastAsia="宋体" w:cs="Times New Roman"/>
                <w:szCs w:val="21"/>
              </w:rPr>
              <w:t>（2）监测分析方法采用国家有关部门颁布的标准（或推荐）分析方法，监测人员通过考核并持有合格证书。</w:t>
            </w:r>
          </w:p>
          <w:p>
            <w:pPr>
              <w:widowControl/>
              <w:adjustRightInd w:val="0"/>
              <w:snapToGrid w:val="0"/>
              <w:spacing w:line="500" w:lineRule="exact"/>
              <w:ind w:firstLine="420" w:firstLineChars="200"/>
              <w:jc w:val="left"/>
              <w:rPr>
                <w:rFonts w:ascii="Times New Roman" w:hAnsi="Times New Roman" w:eastAsia="宋体" w:cs="Times New Roman"/>
                <w:bCs/>
                <w:szCs w:val="21"/>
              </w:rPr>
            </w:pPr>
            <w:r>
              <w:rPr>
                <w:rFonts w:ascii="Times New Roman" w:hAnsi="Times New Roman" w:eastAsia="宋体" w:cs="Times New Roman"/>
                <w:szCs w:val="21"/>
              </w:rPr>
              <w:t>（3）现场采样和监测前，采样仪器应用标准流量计进行流量校准，并按照国家环保局发布的《环境监测技术规范》的要求进行全过程质量控制。</w:t>
            </w:r>
          </w:p>
          <w:p>
            <w:pPr>
              <w:widowControl/>
              <w:adjustRightInd w:val="0"/>
              <w:snapToGrid w:val="0"/>
              <w:spacing w:line="500" w:lineRule="exact"/>
              <w:ind w:firstLine="420" w:firstLineChars="200"/>
              <w:jc w:val="left"/>
              <w:rPr>
                <w:rFonts w:ascii="Times New Roman" w:hAnsi="Times New Roman" w:eastAsia="宋体" w:cs="Times New Roman"/>
                <w:bCs/>
                <w:szCs w:val="21"/>
              </w:rPr>
            </w:pPr>
            <w:r>
              <w:rPr>
                <w:rFonts w:ascii="Times New Roman" w:hAnsi="Times New Roman" w:eastAsia="宋体" w:cs="Times New Roman"/>
                <w:szCs w:val="21"/>
              </w:rPr>
              <w:t>（4）保证验收监测分析结果的准确可靠性，在监测期间，样品采集、运输、保存参考国家标准和《环境水质监测保证手册》的技术要求进行，每批样品分析的同时做质控样品和平行双样等。质控数据应占每批分析样品总数的15％-20％。</w:t>
            </w:r>
          </w:p>
          <w:p>
            <w:pPr>
              <w:widowControl/>
              <w:adjustRightInd w:val="0"/>
              <w:snapToGrid w:val="0"/>
              <w:spacing w:line="500" w:lineRule="exact"/>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（5）采样过程中及时填写采样记录和样品标签，做到准确无误，样品交接和处理按制度执行，确保样品不混淆，不遗漏。</w:t>
            </w:r>
          </w:p>
          <w:p>
            <w:pPr>
              <w:widowControl/>
              <w:adjustRightInd w:val="0"/>
              <w:snapToGrid w:val="0"/>
              <w:spacing w:line="500" w:lineRule="exact"/>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（6）监测分析人员严格执行环境监测规范和计量法规，如实填写分析原始记录，监测数据严格实行三级审核制度，经过校对、校核，最后由技术负责人审定。</w:t>
            </w:r>
          </w:p>
          <w:p>
            <w:pPr>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本次验收监测人员均经过培训考核合格，所有监测仪器经过计量部门检定/校准并在有效期内，现场监测仪器使用前后经过校准，监测数据和报告实行三级审核。根据建设项目验收和环境管理的有关要求，开展项目竣工环境保护验收监测首先应编制监测方案，并经报批方可实施。项目竣工验收监测工作量大、任务重，要保证监测工作的质量并有序开展工作，必须在监测方案中详细说明有关的质量保证措施，并在实际工作中监督落实。监测方案要在现场勘察的基础上，结合《建设项目环境影响评价报告表》中的有关标准、技术文件、监测规范的要求而编制。本项目监测项目、分析方法及分析仪器如下表5-1。</w:t>
            </w:r>
          </w:p>
          <w:p>
            <w:pPr>
              <w:spacing w:line="500" w:lineRule="exact"/>
              <w:ind w:firstLine="420" w:firstLineChars="200"/>
              <w:rPr>
                <w:rFonts w:ascii="Times New Roman" w:hAnsi="Times New Roman" w:eastAsia="宋体" w:cs="Times New Roman"/>
                <w:bCs/>
                <w:szCs w:val="21"/>
              </w:rPr>
            </w:pPr>
            <w:r>
              <w:rPr>
                <w:rFonts w:ascii="Times New Roman" w:hAnsi="Times New Roman" w:eastAsia="宋体" w:cs="Times New Roman"/>
                <w:bCs/>
                <w:szCs w:val="21"/>
              </w:rPr>
              <w:t>表5-1                 监测项目、分析方法及分析仪器信息</w:t>
            </w:r>
          </w:p>
          <w:tbl>
            <w:tblPr>
              <w:tblStyle w:val="18"/>
              <w:tblW w:w="0" w:type="auto"/>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108" w:type="dxa"/>
                <w:bottom w:w="0" w:type="dxa"/>
                <w:right w:w="108" w:type="dxa"/>
              </w:tblCellMar>
            </w:tblPr>
            <w:tblGrid>
              <w:gridCol w:w="764"/>
              <w:gridCol w:w="1276"/>
              <w:gridCol w:w="2493"/>
              <w:gridCol w:w="1502"/>
              <w:gridCol w:w="1347"/>
              <w:gridCol w:w="1690"/>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69" w:hRule="atLeast"/>
                <w:jc w:val="center"/>
              </w:trPr>
              <w:tc>
                <w:tcPr>
                  <w:tcW w:w="909" w:type="dxa"/>
                  <w:vAlign w:val="center"/>
                </w:tcPr>
                <w:p>
                  <w:pPr>
                    <w:widowControl/>
                    <w:jc w:val="center"/>
                    <w:rPr>
                      <w:rFonts w:ascii="Times New Roman" w:hAnsi="Times New Roman" w:cs="Times New Roman"/>
                      <w:szCs w:val="21"/>
                    </w:rPr>
                  </w:pPr>
                  <w:r>
                    <w:rPr>
                      <w:rFonts w:ascii="Times New Roman" w:hAnsi="Times New Roman" w:cs="Times New Roman"/>
                      <w:szCs w:val="21"/>
                    </w:rPr>
                    <w:t>类型</w:t>
                  </w:r>
                </w:p>
              </w:tc>
              <w:tc>
                <w:tcPr>
                  <w:tcW w:w="1511" w:type="dxa"/>
                  <w:vAlign w:val="center"/>
                </w:tcPr>
                <w:p>
                  <w:pPr>
                    <w:jc w:val="center"/>
                    <w:rPr>
                      <w:rFonts w:ascii="Times New Roman" w:hAnsi="Times New Roman" w:cs="Times New Roman"/>
                      <w:szCs w:val="21"/>
                    </w:rPr>
                  </w:pPr>
                  <w:r>
                    <w:rPr>
                      <w:rFonts w:ascii="Times New Roman" w:hAnsi="Times New Roman" w:eastAsia="宋体" w:cs="Times New Roman"/>
                      <w:szCs w:val="21"/>
                    </w:rPr>
                    <w:t>检测</w:t>
                  </w:r>
                </w:p>
                <w:p>
                  <w:pPr>
                    <w:jc w:val="center"/>
                    <w:rPr>
                      <w:rFonts w:ascii="Times New Roman" w:hAnsi="Times New Roman" w:cs="Times New Roman"/>
                      <w:szCs w:val="21"/>
                    </w:rPr>
                  </w:pPr>
                  <w:r>
                    <w:rPr>
                      <w:rFonts w:ascii="Times New Roman" w:hAnsi="Times New Roman" w:eastAsia="宋体" w:cs="Times New Roman"/>
                      <w:szCs w:val="21"/>
                    </w:rPr>
                    <w:t>项目</w:t>
                  </w:r>
                </w:p>
              </w:tc>
              <w:tc>
                <w:tcPr>
                  <w:tcW w:w="2834" w:type="dxa"/>
                  <w:vAlign w:val="center"/>
                </w:tcPr>
                <w:p>
                  <w:pPr>
                    <w:jc w:val="center"/>
                    <w:rPr>
                      <w:rFonts w:ascii="Times New Roman" w:hAnsi="Times New Roman" w:cs="Times New Roman"/>
                      <w:szCs w:val="21"/>
                    </w:rPr>
                  </w:pPr>
                  <w:r>
                    <w:rPr>
                      <w:rFonts w:ascii="Times New Roman" w:hAnsi="Times New Roman" w:eastAsia="宋体" w:cs="Times New Roman"/>
                      <w:szCs w:val="21"/>
                    </w:rPr>
                    <w:t>检测方法及标准号</w:t>
                  </w:r>
                </w:p>
              </w:tc>
              <w:tc>
                <w:tcPr>
                  <w:tcW w:w="1900" w:type="dxa"/>
                  <w:vAlign w:val="center"/>
                </w:tcPr>
                <w:p>
                  <w:pPr>
                    <w:jc w:val="center"/>
                    <w:rPr>
                      <w:rFonts w:ascii="Times New Roman" w:hAnsi="Times New Roman" w:cs="Times New Roman"/>
                      <w:szCs w:val="21"/>
                    </w:rPr>
                  </w:pPr>
                  <w:r>
                    <w:rPr>
                      <w:rFonts w:ascii="Times New Roman" w:hAnsi="Times New Roman" w:eastAsia="宋体" w:cs="Times New Roman"/>
                      <w:szCs w:val="21"/>
                    </w:rPr>
                    <w:t>使用仪器</w:t>
                  </w:r>
                </w:p>
              </w:tc>
              <w:tc>
                <w:tcPr>
                  <w:tcW w:w="1362" w:type="dxa"/>
                  <w:vAlign w:val="center"/>
                </w:tcPr>
                <w:p>
                  <w:pPr>
                    <w:jc w:val="center"/>
                    <w:rPr>
                      <w:rFonts w:ascii="Times New Roman" w:hAnsi="Times New Roman" w:cs="Times New Roman"/>
                      <w:szCs w:val="21"/>
                    </w:rPr>
                  </w:pPr>
                  <w:r>
                    <w:rPr>
                      <w:rFonts w:ascii="Times New Roman" w:hAnsi="Times New Roman" w:eastAsia="宋体" w:cs="Times New Roman"/>
                      <w:szCs w:val="21"/>
                    </w:rPr>
                    <w:t>型号</w:t>
                  </w:r>
                </w:p>
              </w:tc>
              <w:tc>
                <w:tcPr>
                  <w:tcW w:w="1404" w:type="dxa"/>
                  <w:vAlign w:val="center"/>
                </w:tcPr>
                <w:p>
                  <w:pPr>
                    <w:jc w:val="center"/>
                    <w:rPr>
                      <w:rFonts w:ascii="Times New Roman" w:hAnsi="Times New Roman" w:cs="Times New Roman"/>
                      <w:szCs w:val="21"/>
                    </w:rPr>
                  </w:pPr>
                  <w:r>
                    <w:rPr>
                      <w:rFonts w:ascii="Times New Roman" w:hAnsi="Times New Roman" w:eastAsia="宋体" w:cs="Times New Roman"/>
                      <w:szCs w:val="21"/>
                    </w:rPr>
                    <w:t>仪器</w:t>
                  </w:r>
                </w:p>
                <w:p>
                  <w:pPr>
                    <w:jc w:val="center"/>
                    <w:rPr>
                      <w:rFonts w:ascii="Times New Roman" w:hAnsi="Times New Roman" w:cs="Times New Roman"/>
                      <w:szCs w:val="21"/>
                    </w:rPr>
                  </w:pPr>
                  <w:r>
                    <w:rPr>
                      <w:rFonts w:ascii="Times New Roman" w:hAnsi="Times New Roman" w:eastAsia="宋体" w:cs="Times New Roman"/>
                      <w:szCs w:val="21"/>
                    </w:rPr>
                    <w:t>编号</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749" w:hRule="atLeast"/>
                <w:jc w:val="center"/>
              </w:trPr>
              <w:tc>
                <w:tcPr>
                  <w:tcW w:w="909" w:type="dxa"/>
                  <w:vMerge w:val="restart"/>
                  <w:vAlign w:val="center"/>
                </w:tcPr>
                <w:p>
                  <w:pPr>
                    <w:widowControl/>
                    <w:jc w:val="center"/>
                    <w:rPr>
                      <w:rFonts w:ascii="Times New Roman" w:hAnsi="Times New Roman" w:cs="Times New Roman"/>
                      <w:szCs w:val="21"/>
                    </w:rPr>
                  </w:pPr>
                  <w:r>
                    <w:rPr>
                      <w:rFonts w:ascii="Times New Roman" w:hAnsi="Times New Roman" w:cs="Times New Roman"/>
                      <w:szCs w:val="21"/>
                    </w:rPr>
                    <w:t>有组织废气</w:t>
                  </w:r>
                </w:p>
              </w:tc>
              <w:tc>
                <w:tcPr>
                  <w:tcW w:w="1511" w:type="dxa"/>
                  <w:vAlign w:val="center"/>
                </w:tcPr>
                <w:p>
                  <w:pPr>
                    <w:jc w:val="center"/>
                    <w:rPr>
                      <w:rFonts w:ascii="Times New Roman" w:hAnsi="Times New Roman" w:cs="Times New Roman"/>
                      <w:szCs w:val="21"/>
                    </w:rPr>
                  </w:pPr>
                  <w:r>
                    <w:rPr>
                      <w:rFonts w:ascii="Times New Roman" w:hAnsi="Times New Roman" w:eastAsia="宋体" w:cs="Times New Roman"/>
                      <w:szCs w:val="21"/>
                    </w:rPr>
                    <w:t>颗粒物</w:t>
                  </w:r>
                </w:p>
              </w:tc>
              <w:tc>
                <w:tcPr>
                  <w:tcW w:w="2834" w:type="dxa"/>
                  <w:vAlign w:val="center"/>
                </w:tcPr>
                <w:p>
                  <w:pPr>
                    <w:jc w:val="center"/>
                    <w:rPr>
                      <w:rFonts w:ascii="Times New Roman" w:hAnsi="Times New Roman" w:cs="Times New Roman"/>
                      <w:szCs w:val="21"/>
                    </w:rPr>
                  </w:pPr>
                  <w:r>
                    <w:rPr>
                      <w:rFonts w:ascii="Times New Roman" w:hAnsi="Times New Roman" w:eastAsia="宋体" w:cs="Times New Roman"/>
                      <w:szCs w:val="21"/>
                    </w:rPr>
                    <w:t>固定污染源废气 低浓度颗粒物的测定 重量法 HJ 836-2017</w:t>
                  </w:r>
                </w:p>
              </w:tc>
              <w:tc>
                <w:tcPr>
                  <w:tcW w:w="1900" w:type="dxa"/>
                  <w:vAlign w:val="center"/>
                </w:tcPr>
                <w:p>
                  <w:pPr>
                    <w:jc w:val="center"/>
                    <w:rPr>
                      <w:rFonts w:ascii="Times New Roman" w:hAnsi="Times New Roman" w:cs="Times New Roman"/>
                      <w:szCs w:val="21"/>
                    </w:rPr>
                  </w:pPr>
                  <w:r>
                    <w:rPr>
                      <w:rFonts w:ascii="Times New Roman" w:hAnsi="Times New Roman" w:eastAsia="宋体" w:cs="Times New Roman"/>
                      <w:szCs w:val="21"/>
                    </w:rPr>
                    <w:t>便携式大流量低浓度烟尘自动测试仪</w:t>
                  </w:r>
                </w:p>
                <w:p>
                  <w:pPr>
                    <w:jc w:val="center"/>
                    <w:rPr>
                      <w:rFonts w:ascii="Times New Roman" w:hAnsi="Times New Roman" w:cs="Times New Roman"/>
                      <w:szCs w:val="21"/>
                    </w:rPr>
                  </w:pPr>
                  <w:r>
                    <w:rPr>
                      <w:rFonts w:ascii="Times New Roman" w:hAnsi="Times New Roman" w:eastAsia="宋体" w:cs="Times New Roman"/>
                      <w:szCs w:val="21"/>
                    </w:rPr>
                    <w:t>分析天平</w:t>
                  </w:r>
                </w:p>
              </w:tc>
              <w:tc>
                <w:tcPr>
                  <w:tcW w:w="1362" w:type="dxa"/>
                  <w:vAlign w:val="center"/>
                </w:tcPr>
                <w:p>
                  <w:pPr>
                    <w:jc w:val="center"/>
                    <w:rPr>
                      <w:rFonts w:ascii="Times New Roman" w:hAnsi="Times New Roman" w:cs="Times New Roman"/>
                      <w:szCs w:val="21"/>
                    </w:rPr>
                  </w:pPr>
                  <w:r>
                    <w:rPr>
                      <w:rFonts w:ascii="Times New Roman" w:hAnsi="Times New Roman" w:eastAsia="宋体" w:cs="Times New Roman"/>
                      <w:szCs w:val="21"/>
                    </w:rPr>
                    <w:t>3012H-D</w:t>
                  </w:r>
                </w:p>
                <w:p>
                  <w:pPr>
                    <w:jc w:val="center"/>
                    <w:rPr>
                      <w:rFonts w:ascii="Times New Roman" w:hAnsi="Times New Roman" w:cs="Times New Roman"/>
                      <w:szCs w:val="21"/>
                    </w:rPr>
                  </w:pPr>
                  <w:r>
                    <w:rPr>
                      <w:rFonts w:ascii="Times New Roman" w:hAnsi="Times New Roman" w:eastAsia="宋体" w:cs="Times New Roman"/>
                      <w:szCs w:val="21"/>
                    </w:rPr>
                    <w:t>AE240S</w:t>
                  </w:r>
                </w:p>
              </w:tc>
              <w:tc>
                <w:tcPr>
                  <w:tcW w:w="1404" w:type="dxa"/>
                  <w:vAlign w:val="center"/>
                </w:tcPr>
                <w:p>
                  <w:pPr>
                    <w:jc w:val="center"/>
                    <w:rPr>
                      <w:rFonts w:ascii="Times New Roman" w:hAnsi="Times New Roman" w:cs="Times New Roman"/>
                      <w:szCs w:val="21"/>
                    </w:rPr>
                  </w:pPr>
                  <w:r>
                    <w:rPr>
                      <w:rFonts w:ascii="Times New Roman" w:hAnsi="Times New Roman" w:eastAsia="宋体" w:cs="Times New Roman"/>
                      <w:szCs w:val="21"/>
                    </w:rPr>
                    <w:t>A09131444D</w:t>
                  </w:r>
                </w:p>
                <w:p>
                  <w:pPr>
                    <w:jc w:val="center"/>
                    <w:rPr>
                      <w:rFonts w:ascii="Times New Roman" w:hAnsi="Times New Roman" w:cs="Times New Roman"/>
                      <w:szCs w:val="21"/>
                    </w:rPr>
                  </w:pPr>
                  <w:r>
                    <w:rPr>
                      <w:rFonts w:ascii="Times New Roman" w:hAnsi="Times New Roman" w:eastAsia="宋体" w:cs="Times New Roman"/>
                      <w:szCs w:val="21"/>
                    </w:rPr>
                    <w:t>1221254337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749" w:hRule="atLeast"/>
                <w:jc w:val="center"/>
              </w:trPr>
              <w:tc>
                <w:tcPr>
                  <w:tcW w:w="909" w:type="dxa"/>
                  <w:vMerge w:val="continue"/>
                  <w:vAlign w:val="center"/>
                </w:tcPr>
                <w:p>
                  <w:pPr>
                    <w:widowControl/>
                    <w:jc w:val="center"/>
                    <w:rPr>
                      <w:rFonts w:ascii="Times New Roman" w:hAnsi="Times New Roman" w:cs="Times New Roman"/>
                      <w:szCs w:val="21"/>
                    </w:rPr>
                  </w:pPr>
                </w:p>
              </w:tc>
              <w:tc>
                <w:tcPr>
                  <w:tcW w:w="1511" w:type="dxa"/>
                  <w:vAlign w:val="center"/>
                </w:tcPr>
                <w:p>
                  <w:pPr>
                    <w:jc w:val="center"/>
                    <w:rPr>
                      <w:rFonts w:ascii="Times New Roman" w:hAnsi="Times New Roman" w:cs="Times New Roman"/>
                      <w:szCs w:val="21"/>
                    </w:rPr>
                  </w:pPr>
                  <w:r>
                    <w:rPr>
                      <w:rFonts w:ascii="Times New Roman" w:hAnsi="Times New Roman" w:cs="Times New Roman"/>
                      <w:szCs w:val="21"/>
                    </w:rPr>
                    <w:t>SO₂</w:t>
                  </w:r>
                </w:p>
              </w:tc>
              <w:tc>
                <w:tcPr>
                  <w:tcW w:w="2834" w:type="dxa"/>
                  <w:vAlign w:val="center"/>
                </w:tcPr>
                <w:p>
                  <w:pPr>
                    <w:jc w:val="center"/>
                    <w:rPr>
                      <w:rFonts w:ascii="Times New Roman" w:hAnsi="Times New Roman" w:cs="Times New Roman"/>
                      <w:szCs w:val="21"/>
                    </w:rPr>
                  </w:pPr>
                  <w:r>
                    <w:rPr>
                      <w:rFonts w:ascii="Times New Roman" w:hAnsi="Times New Roman" w:eastAsia="宋体" w:cs="Times New Roman"/>
                      <w:szCs w:val="21"/>
                    </w:rPr>
                    <w:t>固定污染源废气 二氧化硫的测定 定电位电解法HJ 57-2017</w:t>
                  </w:r>
                </w:p>
              </w:tc>
              <w:tc>
                <w:tcPr>
                  <w:tcW w:w="1900" w:type="dxa"/>
                  <w:vAlign w:val="center"/>
                </w:tcPr>
                <w:p>
                  <w:pPr>
                    <w:jc w:val="center"/>
                    <w:rPr>
                      <w:rFonts w:ascii="Times New Roman" w:hAnsi="Times New Roman" w:cs="Times New Roman"/>
                      <w:szCs w:val="21"/>
                    </w:rPr>
                  </w:pPr>
                  <w:r>
                    <w:rPr>
                      <w:rFonts w:ascii="Times New Roman" w:hAnsi="Times New Roman" w:eastAsia="宋体" w:cs="Times New Roman"/>
                      <w:szCs w:val="21"/>
                    </w:rPr>
                    <w:t>便携式大流量低浓度烟尘自动测试仪</w:t>
                  </w:r>
                </w:p>
              </w:tc>
              <w:tc>
                <w:tcPr>
                  <w:tcW w:w="1362" w:type="dxa"/>
                  <w:vAlign w:val="center"/>
                </w:tcPr>
                <w:p>
                  <w:pPr>
                    <w:jc w:val="center"/>
                    <w:rPr>
                      <w:rFonts w:ascii="Times New Roman" w:hAnsi="Times New Roman" w:cs="Times New Roman"/>
                      <w:szCs w:val="21"/>
                    </w:rPr>
                  </w:pPr>
                  <w:r>
                    <w:rPr>
                      <w:rFonts w:ascii="Times New Roman" w:hAnsi="Times New Roman" w:eastAsia="宋体" w:cs="Times New Roman"/>
                      <w:szCs w:val="21"/>
                    </w:rPr>
                    <w:t>3012H-D</w:t>
                  </w:r>
                </w:p>
              </w:tc>
              <w:tc>
                <w:tcPr>
                  <w:tcW w:w="1404" w:type="dxa"/>
                  <w:vAlign w:val="center"/>
                </w:tcPr>
                <w:p>
                  <w:pPr>
                    <w:jc w:val="center"/>
                    <w:rPr>
                      <w:rFonts w:ascii="Times New Roman" w:hAnsi="Times New Roman" w:cs="Times New Roman"/>
                      <w:szCs w:val="21"/>
                    </w:rPr>
                  </w:pPr>
                  <w:r>
                    <w:rPr>
                      <w:rFonts w:ascii="Times New Roman" w:hAnsi="Times New Roman" w:eastAsia="宋体" w:cs="Times New Roman"/>
                      <w:szCs w:val="21"/>
                    </w:rPr>
                    <w:t>A09131444D</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749" w:hRule="atLeast"/>
                <w:jc w:val="center"/>
              </w:trPr>
              <w:tc>
                <w:tcPr>
                  <w:tcW w:w="909" w:type="dxa"/>
                  <w:vMerge w:val="continue"/>
                  <w:vAlign w:val="center"/>
                </w:tcPr>
                <w:p>
                  <w:pPr>
                    <w:widowControl/>
                    <w:jc w:val="center"/>
                    <w:rPr>
                      <w:rFonts w:ascii="Times New Roman" w:hAnsi="Times New Roman" w:cs="Times New Roman"/>
                      <w:szCs w:val="21"/>
                    </w:rPr>
                  </w:pPr>
                </w:p>
              </w:tc>
              <w:tc>
                <w:tcPr>
                  <w:tcW w:w="1511" w:type="dxa"/>
                  <w:vAlign w:val="center"/>
                </w:tcPr>
                <w:p>
                  <w:pPr>
                    <w:jc w:val="center"/>
                    <w:rPr>
                      <w:rFonts w:ascii="Times New Roman" w:hAnsi="Times New Roman" w:cs="Times New Roman"/>
                      <w:szCs w:val="21"/>
                    </w:rPr>
                  </w:pPr>
                  <w:r>
                    <w:rPr>
                      <w:rFonts w:ascii="Times New Roman" w:hAnsi="Times New Roman" w:cs="Times New Roman"/>
                      <w:szCs w:val="21"/>
                    </w:rPr>
                    <w:t>NOx</w:t>
                  </w:r>
                </w:p>
              </w:tc>
              <w:tc>
                <w:tcPr>
                  <w:tcW w:w="2834" w:type="dxa"/>
                  <w:vAlign w:val="center"/>
                </w:tcPr>
                <w:p>
                  <w:pPr>
                    <w:jc w:val="center"/>
                    <w:rPr>
                      <w:rFonts w:ascii="Times New Roman" w:hAnsi="Times New Roman" w:cs="Times New Roman"/>
                      <w:szCs w:val="21"/>
                    </w:rPr>
                  </w:pPr>
                  <w:r>
                    <w:rPr>
                      <w:rFonts w:ascii="Times New Roman" w:hAnsi="Times New Roman" w:eastAsia="宋体" w:cs="Times New Roman"/>
                      <w:szCs w:val="21"/>
                    </w:rPr>
                    <w:t>固定污染源废气 氮氧化物的测定 定电位电解法HJ 693-2014</w:t>
                  </w:r>
                </w:p>
              </w:tc>
              <w:tc>
                <w:tcPr>
                  <w:tcW w:w="1900" w:type="dxa"/>
                  <w:vAlign w:val="center"/>
                </w:tcPr>
                <w:p>
                  <w:pPr>
                    <w:jc w:val="center"/>
                    <w:rPr>
                      <w:rFonts w:ascii="Times New Roman" w:hAnsi="Times New Roman" w:cs="Times New Roman"/>
                      <w:szCs w:val="21"/>
                    </w:rPr>
                  </w:pPr>
                  <w:r>
                    <w:rPr>
                      <w:rFonts w:ascii="Times New Roman" w:hAnsi="Times New Roman" w:eastAsia="宋体" w:cs="Times New Roman"/>
                      <w:szCs w:val="21"/>
                    </w:rPr>
                    <w:t>便携式大流量低浓度烟尘自动测试仪</w:t>
                  </w:r>
                </w:p>
              </w:tc>
              <w:tc>
                <w:tcPr>
                  <w:tcW w:w="1362" w:type="dxa"/>
                  <w:vAlign w:val="center"/>
                </w:tcPr>
                <w:p>
                  <w:pPr>
                    <w:jc w:val="center"/>
                    <w:rPr>
                      <w:rFonts w:ascii="Times New Roman" w:hAnsi="Times New Roman" w:cs="Times New Roman"/>
                      <w:szCs w:val="21"/>
                    </w:rPr>
                  </w:pPr>
                  <w:r>
                    <w:rPr>
                      <w:rFonts w:ascii="Times New Roman" w:hAnsi="Times New Roman" w:eastAsia="宋体" w:cs="Times New Roman"/>
                      <w:szCs w:val="21"/>
                    </w:rPr>
                    <w:t>3012H-D</w:t>
                  </w:r>
                </w:p>
              </w:tc>
              <w:tc>
                <w:tcPr>
                  <w:tcW w:w="1404" w:type="dxa"/>
                  <w:vAlign w:val="center"/>
                </w:tcPr>
                <w:p>
                  <w:pPr>
                    <w:jc w:val="center"/>
                    <w:rPr>
                      <w:rFonts w:ascii="Times New Roman" w:hAnsi="Times New Roman" w:cs="Times New Roman"/>
                      <w:szCs w:val="21"/>
                    </w:rPr>
                  </w:pPr>
                  <w:r>
                    <w:rPr>
                      <w:rFonts w:ascii="Times New Roman" w:hAnsi="Times New Roman" w:eastAsia="宋体" w:cs="Times New Roman"/>
                      <w:szCs w:val="21"/>
                    </w:rPr>
                    <w:t>A09131444D</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749" w:hRule="atLeast"/>
                <w:jc w:val="center"/>
              </w:trPr>
              <w:tc>
                <w:tcPr>
                  <w:tcW w:w="909" w:type="dxa"/>
                  <w:vMerge w:val="continue"/>
                  <w:vAlign w:val="center"/>
                </w:tcPr>
                <w:p>
                  <w:pPr>
                    <w:widowControl/>
                    <w:jc w:val="center"/>
                    <w:rPr>
                      <w:rFonts w:ascii="Times New Roman" w:hAnsi="Times New Roman" w:cs="Times New Roman"/>
                      <w:szCs w:val="21"/>
                    </w:rPr>
                  </w:pPr>
                </w:p>
              </w:tc>
              <w:tc>
                <w:tcPr>
                  <w:tcW w:w="1511" w:type="dxa"/>
                  <w:vAlign w:val="center"/>
                </w:tcPr>
                <w:p>
                  <w:pPr>
                    <w:jc w:val="center"/>
                    <w:rPr>
                      <w:rFonts w:ascii="Times New Roman" w:hAnsi="Times New Roman" w:cs="Times New Roman"/>
                      <w:szCs w:val="21"/>
                    </w:rPr>
                  </w:pPr>
                  <w:r>
                    <w:rPr>
                      <w:rFonts w:ascii="Times New Roman" w:hAnsi="Times New Roman" w:eastAsia="宋体" w:cs="Times New Roman"/>
                      <w:szCs w:val="21"/>
                    </w:rPr>
                    <w:t>烟气黑度</w:t>
                  </w:r>
                </w:p>
              </w:tc>
              <w:tc>
                <w:tcPr>
                  <w:tcW w:w="2834" w:type="dxa"/>
                  <w:vAlign w:val="center"/>
                </w:tcPr>
                <w:p>
                  <w:pPr>
                    <w:jc w:val="center"/>
                    <w:rPr>
                      <w:rFonts w:ascii="Times New Roman" w:hAnsi="Times New Roman" w:cs="Times New Roman"/>
                      <w:szCs w:val="21"/>
                    </w:rPr>
                  </w:pPr>
                  <w:r>
                    <w:rPr>
                      <w:rFonts w:ascii="Times New Roman" w:hAnsi="Times New Roman" w:eastAsia="宋体" w:cs="Times New Roman"/>
                      <w:szCs w:val="21"/>
                    </w:rPr>
                    <w:t>固定污染源排放烟气黑度的测定 林格曼烟气黑度图法 HJ/T 398—2007</w:t>
                  </w:r>
                </w:p>
              </w:tc>
              <w:tc>
                <w:tcPr>
                  <w:tcW w:w="1900" w:type="dxa"/>
                  <w:vAlign w:val="center"/>
                </w:tcPr>
                <w:p>
                  <w:pPr>
                    <w:jc w:val="center"/>
                    <w:rPr>
                      <w:rFonts w:ascii="Times New Roman" w:hAnsi="Times New Roman" w:cs="Times New Roman"/>
                      <w:szCs w:val="21"/>
                    </w:rPr>
                  </w:pPr>
                  <w:r>
                    <w:rPr>
                      <w:rFonts w:ascii="Times New Roman" w:hAnsi="Times New Roman" w:eastAsia="宋体" w:cs="Times New Roman"/>
                      <w:szCs w:val="21"/>
                    </w:rPr>
                    <w:t>林格曼烟气黑度图</w:t>
                  </w:r>
                </w:p>
              </w:tc>
              <w:tc>
                <w:tcPr>
                  <w:tcW w:w="1362" w:type="dxa"/>
                  <w:vAlign w:val="center"/>
                </w:tcPr>
                <w:p>
                  <w:pPr>
                    <w:jc w:val="center"/>
                    <w:rPr>
                      <w:rFonts w:ascii="Times New Roman" w:hAnsi="Times New Roman" w:cs="Times New Roman"/>
                      <w:szCs w:val="21"/>
                    </w:rPr>
                  </w:pPr>
                  <w:r>
                    <w:rPr>
                      <w:rFonts w:ascii="Times New Roman" w:hAnsi="Times New Roman" w:eastAsia="宋体" w:cs="Times New Roman"/>
                      <w:szCs w:val="21"/>
                    </w:rPr>
                    <w:t>—</w:t>
                  </w:r>
                </w:p>
              </w:tc>
              <w:tc>
                <w:tcPr>
                  <w:tcW w:w="1404" w:type="dxa"/>
                  <w:vAlign w:val="center"/>
                </w:tcPr>
                <w:p>
                  <w:pPr>
                    <w:jc w:val="center"/>
                    <w:rPr>
                      <w:rFonts w:ascii="Times New Roman" w:hAnsi="Times New Roman" w:cs="Times New Roman"/>
                      <w:szCs w:val="21"/>
                    </w:rPr>
                  </w:pPr>
                  <w:r>
                    <w:rPr>
                      <w:rFonts w:ascii="Times New Roman" w:hAnsi="Times New Roman" w:eastAsia="宋体" w:cs="Times New Roman"/>
                      <w:szCs w:val="21"/>
                    </w:rPr>
                    <w:t>—</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749" w:hRule="atLeast"/>
                <w:jc w:val="center"/>
              </w:trPr>
              <w:tc>
                <w:tcPr>
                  <w:tcW w:w="909" w:type="dxa"/>
                  <w:vMerge w:val="continue"/>
                  <w:vAlign w:val="center"/>
                </w:tcPr>
                <w:p>
                  <w:pPr>
                    <w:widowControl/>
                    <w:jc w:val="center"/>
                    <w:rPr>
                      <w:rFonts w:ascii="Times New Roman" w:hAnsi="Times New Roman" w:cs="Times New Roman"/>
                      <w:szCs w:val="21"/>
                    </w:rPr>
                  </w:pPr>
                </w:p>
              </w:tc>
              <w:tc>
                <w:tcPr>
                  <w:tcW w:w="1511" w:type="dxa"/>
                  <w:vAlign w:val="center"/>
                </w:tcPr>
                <w:p>
                  <w:pPr>
                    <w:jc w:val="center"/>
                    <w:rPr>
                      <w:rFonts w:ascii="Times New Roman" w:hAnsi="Times New Roman" w:cs="Times New Roman"/>
                      <w:szCs w:val="21"/>
                    </w:rPr>
                  </w:pPr>
                  <w:r>
                    <w:rPr>
                      <w:rFonts w:ascii="Times New Roman" w:hAnsi="Times New Roman" w:eastAsia="宋体" w:cs="Times New Roman"/>
                      <w:szCs w:val="21"/>
                    </w:rPr>
                    <w:t>油烟</w:t>
                  </w:r>
                </w:p>
              </w:tc>
              <w:tc>
                <w:tcPr>
                  <w:tcW w:w="2834" w:type="dxa"/>
                  <w:vAlign w:val="center"/>
                </w:tcPr>
                <w:p>
                  <w:pPr>
                    <w:jc w:val="center"/>
                    <w:rPr>
                      <w:rFonts w:ascii="Times New Roman" w:hAnsi="Times New Roman" w:cs="Times New Roman"/>
                      <w:szCs w:val="21"/>
                    </w:rPr>
                  </w:pPr>
                  <w:r>
                    <w:rPr>
                      <w:rFonts w:ascii="Times New Roman" w:hAnsi="Times New Roman" w:eastAsia="宋体" w:cs="Times New Roman"/>
                      <w:szCs w:val="21"/>
                    </w:rPr>
                    <w:t>固定污染源废气 油烟和油雾的测定 红外分光光度法 HJ1077-2019</w:t>
                  </w:r>
                </w:p>
              </w:tc>
              <w:tc>
                <w:tcPr>
                  <w:tcW w:w="1900" w:type="dxa"/>
                  <w:vAlign w:val="center"/>
                </w:tcPr>
                <w:p>
                  <w:pPr>
                    <w:jc w:val="center"/>
                    <w:rPr>
                      <w:rFonts w:ascii="Times New Roman" w:hAnsi="Times New Roman" w:cs="Times New Roman"/>
                      <w:szCs w:val="21"/>
                    </w:rPr>
                  </w:pPr>
                  <w:r>
                    <w:rPr>
                      <w:rFonts w:ascii="Times New Roman" w:hAnsi="Times New Roman" w:eastAsia="宋体" w:cs="Times New Roman"/>
                      <w:szCs w:val="21"/>
                    </w:rPr>
                    <w:t>红外测油仪</w:t>
                  </w:r>
                </w:p>
              </w:tc>
              <w:tc>
                <w:tcPr>
                  <w:tcW w:w="1362" w:type="dxa"/>
                  <w:vAlign w:val="center"/>
                </w:tcPr>
                <w:p>
                  <w:pPr>
                    <w:jc w:val="center"/>
                    <w:rPr>
                      <w:rFonts w:ascii="Times New Roman" w:hAnsi="Times New Roman" w:cs="Times New Roman"/>
                      <w:szCs w:val="21"/>
                    </w:rPr>
                  </w:pPr>
                  <w:r>
                    <w:rPr>
                      <w:rFonts w:ascii="Times New Roman" w:hAnsi="Times New Roman" w:eastAsia="宋体" w:cs="Times New Roman"/>
                      <w:szCs w:val="21"/>
                    </w:rPr>
                    <w:t>OIL460</w:t>
                  </w:r>
                </w:p>
              </w:tc>
              <w:tc>
                <w:tcPr>
                  <w:tcW w:w="1404" w:type="dxa"/>
                  <w:vAlign w:val="center"/>
                </w:tcPr>
                <w:p>
                  <w:pPr>
                    <w:jc w:val="center"/>
                    <w:rPr>
                      <w:rFonts w:ascii="Times New Roman" w:hAnsi="Times New Roman" w:cs="Times New Roman"/>
                      <w:szCs w:val="21"/>
                    </w:rPr>
                  </w:pPr>
                  <w:r>
                    <w:rPr>
                      <w:rFonts w:ascii="Times New Roman" w:hAnsi="Times New Roman" w:eastAsia="宋体" w:cs="Times New Roman"/>
                      <w:szCs w:val="21"/>
                    </w:rPr>
                    <w:t>11111C15080217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749" w:hRule="atLeast"/>
                <w:jc w:val="center"/>
              </w:trPr>
              <w:tc>
                <w:tcPr>
                  <w:tcW w:w="909" w:type="dxa"/>
                  <w:vMerge w:val="continue"/>
                  <w:vAlign w:val="center"/>
                </w:tcPr>
                <w:p>
                  <w:pPr>
                    <w:widowControl/>
                    <w:jc w:val="center"/>
                    <w:rPr>
                      <w:rFonts w:ascii="Times New Roman" w:hAnsi="Times New Roman" w:cs="Times New Roman"/>
                      <w:szCs w:val="21"/>
                    </w:rPr>
                  </w:pPr>
                </w:p>
              </w:tc>
              <w:tc>
                <w:tcPr>
                  <w:tcW w:w="1511" w:type="dxa"/>
                  <w:vAlign w:val="center"/>
                </w:tcPr>
                <w:p>
                  <w:pPr>
                    <w:jc w:val="center"/>
                    <w:rPr>
                      <w:rFonts w:ascii="Times New Roman" w:hAnsi="Times New Roman" w:cs="Times New Roman"/>
                      <w:szCs w:val="21"/>
                    </w:rPr>
                  </w:pPr>
                  <w:r>
                    <w:rPr>
                      <w:rFonts w:ascii="Times New Roman" w:hAnsi="Times New Roman" w:eastAsia="宋体" w:cs="Times New Roman"/>
                      <w:szCs w:val="21"/>
                    </w:rPr>
                    <w:t>苯并（a）芘</w:t>
                  </w:r>
                </w:p>
              </w:tc>
              <w:tc>
                <w:tcPr>
                  <w:tcW w:w="2834" w:type="dxa"/>
                  <w:vAlign w:val="center"/>
                </w:tcPr>
                <w:p>
                  <w:pPr>
                    <w:jc w:val="center"/>
                    <w:rPr>
                      <w:rFonts w:ascii="Times New Roman" w:hAnsi="Times New Roman" w:cs="Times New Roman"/>
                      <w:szCs w:val="21"/>
                    </w:rPr>
                  </w:pPr>
                  <w:r>
                    <w:rPr>
                      <w:rFonts w:ascii="Times New Roman" w:hAnsi="Times New Roman" w:eastAsia="宋体" w:cs="Times New Roman"/>
                      <w:szCs w:val="21"/>
                    </w:rPr>
                    <w:t>固定污染源排气中苯并（a）芘的测定 高效液相色谱法 HJ/T 40-1999</w:t>
                  </w:r>
                </w:p>
              </w:tc>
              <w:tc>
                <w:tcPr>
                  <w:tcW w:w="1900" w:type="dxa"/>
                  <w:vAlign w:val="center"/>
                </w:tcPr>
                <w:p>
                  <w:pPr>
                    <w:jc w:val="center"/>
                    <w:rPr>
                      <w:rFonts w:ascii="Times New Roman" w:hAnsi="Times New Roman" w:cs="Times New Roman"/>
                      <w:szCs w:val="21"/>
                    </w:rPr>
                  </w:pPr>
                  <w:r>
                    <w:rPr>
                      <w:rFonts w:ascii="Times New Roman" w:hAnsi="Times New Roman" w:eastAsia="宋体" w:cs="Times New Roman"/>
                      <w:szCs w:val="21"/>
                    </w:rPr>
                    <w:t>高效液相色谱仪</w:t>
                  </w:r>
                </w:p>
              </w:tc>
              <w:tc>
                <w:tcPr>
                  <w:tcW w:w="1362" w:type="dxa"/>
                  <w:vAlign w:val="center"/>
                </w:tcPr>
                <w:p>
                  <w:pPr>
                    <w:jc w:val="center"/>
                    <w:rPr>
                      <w:rFonts w:ascii="Times New Roman" w:hAnsi="Times New Roman" w:cs="Times New Roman"/>
                      <w:szCs w:val="21"/>
                    </w:rPr>
                  </w:pPr>
                  <w:r>
                    <w:rPr>
                      <w:rFonts w:ascii="Times New Roman" w:hAnsi="Times New Roman" w:eastAsia="宋体" w:cs="Times New Roman"/>
                      <w:szCs w:val="21"/>
                    </w:rPr>
                    <w:t>Agress1100</w:t>
                  </w:r>
                </w:p>
              </w:tc>
              <w:tc>
                <w:tcPr>
                  <w:tcW w:w="1404" w:type="dxa"/>
                  <w:vAlign w:val="center"/>
                </w:tcPr>
                <w:p>
                  <w:pPr>
                    <w:jc w:val="center"/>
                    <w:rPr>
                      <w:rFonts w:ascii="Times New Roman" w:hAnsi="Times New Roman" w:cs="Times New Roman"/>
                      <w:szCs w:val="21"/>
                    </w:rPr>
                  </w:pPr>
                  <w:r>
                    <w:rPr>
                      <w:rFonts w:ascii="Times New Roman" w:hAnsi="Times New Roman" w:eastAsia="宋体" w:cs="Times New Roman"/>
                      <w:szCs w:val="21"/>
                    </w:rPr>
                    <w:t>D110000026</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749" w:hRule="atLeast"/>
                <w:jc w:val="center"/>
              </w:trPr>
              <w:tc>
                <w:tcPr>
                  <w:tcW w:w="909" w:type="dxa"/>
                  <w:vMerge w:val="restart"/>
                  <w:vAlign w:val="center"/>
                </w:tcPr>
                <w:p>
                  <w:pPr>
                    <w:widowControl/>
                    <w:jc w:val="center"/>
                    <w:rPr>
                      <w:rFonts w:ascii="Times New Roman" w:hAnsi="Times New Roman" w:cs="Times New Roman"/>
                      <w:szCs w:val="21"/>
                    </w:rPr>
                  </w:pPr>
                  <w:r>
                    <w:rPr>
                      <w:rFonts w:ascii="Times New Roman" w:hAnsi="Times New Roman" w:cs="Times New Roman"/>
                      <w:szCs w:val="21"/>
                    </w:rPr>
                    <w:t>无组织废气</w:t>
                  </w:r>
                </w:p>
              </w:tc>
              <w:tc>
                <w:tcPr>
                  <w:tcW w:w="1511" w:type="dxa"/>
                  <w:vAlign w:val="center"/>
                </w:tcPr>
                <w:p>
                  <w:pPr>
                    <w:jc w:val="center"/>
                    <w:rPr>
                      <w:rFonts w:ascii="Times New Roman" w:hAnsi="Times New Roman" w:cs="Times New Roman"/>
                      <w:szCs w:val="21"/>
                    </w:rPr>
                  </w:pPr>
                  <w:r>
                    <w:rPr>
                      <w:rFonts w:ascii="Times New Roman" w:hAnsi="Times New Roman" w:eastAsia="宋体" w:cs="Times New Roman"/>
                      <w:szCs w:val="21"/>
                    </w:rPr>
                    <w:t>颗粒物</w:t>
                  </w:r>
                </w:p>
              </w:tc>
              <w:tc>
                <w:tcPr>
                  <w:tcW w:w="2834" w:type="dxa"/>
                  <w:vAlign w:val="center"/>
                </w:tcPr>
                <w:p>
                  <w:pPr>
                    <w:jc w:val="center"/>
                    <w:rPr>
                      <w:rFonts w:ascii="Times New Roman" w:hAnsi="Times New Roman" w:cs="Times New Roman"/>
                      <w:szCs w:val="21"/>
                    </w:rPr>
                  </w:pPr>
                  <w:r>
                    <w:rPr>
                      <w:rFonts w:ascii="Times New Roman" w:hAnsi="Times New Roman" w:eastAsia="宋体" w:cs="Times New Roman"/>
                      <w:szCs w:val="21"/>
                    </w:rPr>
                    <w:t>环境空气 总悬浮颗粒物的测定 重量法 （HJ 1263-2022）</w:t>
                  </w:r>
                </w:p>
              </w:tc>
              <w:tc>
                <w:tcPr>
                  <w:tcW w:w="1900" w:type="dxa"/>
                  <w:vAlign w:val="center"/>
                </w:tcPr>
                <w:p>
                  <w:pPr>
                    <w:jc w:val="center"/>
                    <w:rPr>
                      <w:rFonts w:ascii="Times New Roman" w:hAnsi="Times New Roman" w:cs="Times New Roman"/>
                      <w:szCs w:val="21"/>
                    </w:rPr>
                  </w:pPr>
                  <w:r>
                    <w:rPr>
                      <w:rFonts w:ascii="Times New Roman" w:hAnsi="Times New Roman" w:eastAsia="宋体" w:cs="Times New Roman"/>
                      <w:szCs w:val="21"/>
                    </w:rPr>
                    <w:t>中流量智能TSP采样器</w:t>
                  </w:r>
                </w:p>
              </w:tc>
              <w:tc>
                <w:tcPr>
                  <w:tcW w:w="1362" w:type="dxa"/>
                  <w:vAlign w:val="center"/>
                </w:tcPr>
                <w:p>
                  <w:pPr>
                    <w:jc w:val="center"/>
                    <w:rPr>
                      <w:rFonts w:ascii="Times New Roman" w:hAnsi="Times New Roman" w:cs="Times New Roman"/>
                      <w:szCs w:val="21"/>
                    </w:rPr>
                  </w:pPr>
                  <w:r>
                    <w:rPr>
                      <w:rFonts w:ascii="Times New Roman" w:hAnsi="Times New Roman" w:eastAsia="宋体" w:cs="Times New Roman"/>
                      <w:szCs w:val="21"/>
                    </w:rPr>
                    <w:t>崂应2030型</w:t>
                  </w:r>
                </w:p>
              </w:tc>
              <w:tc>
                <w:tcPr>
                  <w:tcW w:w="1404" w:type="dxa"/>
                  <w:vAlign w:val="center"/>
                </w:tcPr>
                <w:p>
                  <w:pPr>
                    <w:jc w:val="center"/>
                    <w:rPr>
                      <w:rFonts w:ascii="Times New Roman" w:hAnsi="Times New Roman" w:cs="Times New Roman"/>
                      <w:szCs w:val="21"/>
                    </w:rPr>
                  </w:pPr>
                  <w:r>
                    <w:rPr>
                      <w:rFonts w:ascii="Times New Roman" w:hAnsi="Times New Roman" w:eastAsia="宋体" w:cs="Times New Roman"/>
                      <w:szCs w:val="21"/>
                    </w:rPr>
                    <w:t>M03264012</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749" w:hRule="atLeast"/>
                <w:jc w:val="center"/>
              </w:trPr>
              <w:tc>
                <w:tcPr>
                  <w:tcW w:w="909" w:type="dxa"/>
                  <w:vMerge w:val="continue"/>
                  <w:vAlign w:val="center"/>
                </w:tcPr>
                <w:p>
                  <w:pPr>
                    <w:widowControl/>
                    <w:jc w:val="center"/>
                    <w:rPr>
                      <w:rFonts w:ascii="Times New Roman" w:hAnsi="Times New Roman" w:cs="Times New Roman"/>
                      <w:szCs w:val="21"/>
                    </w:rPr>
                  </w:pPr>
                </w:p>
              </w:tc>
              <w:tc>
                <w:tcPr>
                  <w:tcW w:w="1511" w:type="dxa"/>
                  <w:vAlign w:val="center"/>
                </w:tcPr>
                <w:p>
                  <w:pPr>
                    <w:jc w:val="center"/>
                    <w:rPr>
                      <w:rFonts w:ascii="Times New Roman" w:hAnsi="Times New Roman" w:cs="Times New Roman"/>
                      <w:szCs w:val="21"/>
                    </w:rPr>
                  </w:pPr>
                  <w:r>
                    <w:rPr>
                      <w:rFonts w:ascii="Times New Roman" w:hAnsi="Times New Roman" w:eastAsia="宋体" w:cs="Times New Roman"/>
                      <w:szCs w:val="21"/>
                    </w:rPr>
                    <w:t>苯并（a）芘</w:t>
                  </w:r>
                </w:p>
              </w:tc>
              <w:tc>
                <w:tcPr>
                  <w:tcW w:w="2834" w:type="dxa"/>
                  <w:vAlign w:val="center"/>
                </w:tcPr>
                <w:p>
                  <w:pPr>
                    <w:jc w:val="center"/>
                    <w:rPr>
                      <w:rFonts w:ascii="Times New Roman" w:hAnsi="Times New Roman" w:cs="Times New Roman"/>
                      <w:szCs w:val="21"/>
                    </w:rPr>
                  </w:pPr>
                  <w:r>
                    <w:rPr>
                      <w:rFonts w:ascii="Times New Roman" w:hAnsi="Times New Roman" w:eastAsia="宋体" w:cs="Times New Roman"/>
                      <w:szCs w:val="21"/>
                    </w:rPr>
                    <w:t>环境空气 苯并[a]芘的测定高效液相色谱法HJ 956-2018</w:t>
                  </w:r>
                </w:p>
              </w:tc>
              <w:tc>
                <w:tcPr>
                  <w:tcW w:w="1900" w:type="dxa"/>
                  <w:vAlign w:val="center"/>
                </w:tcPr>
                <w:p>
                  <w:pPr>
                    <w:jc w:val="center"/>
                    <w:rPr>
                      <w:rFonts w:ascii="Times New Roman" w:hAnsi="Times New Roman" w:cs="Times New Roman"/>
                      <w:szCs w:val="21"/>
                    </w:rPr>
                  </w:pPr>
                  <w:r>
                    <w:rPr>
                      <w:rFonts w:ascii="Times New Roman" w:hAnsi="Times New Roman" w:eastAsia="宋体" w:cs="Times New Roman"/>
                      <w:szCs w:val="21"/>
                    </w:rPr>
                    <w:t>高效液相色谱仪</w:t>
                  </w:r>
                </w:p>
              </w:tc>
              <w:tc>
                <w:tcPr>
                  <w:tcW w:w="1362" w:type="dxa"/>
                  <w:vAlign w:val="center"/>
                </w:tcPr>
                <w:p>
                  <w:pPr>
                    <w:jc w:val="center"/>
                    <w:rPr>
                      <w:rFonts w:ascii="Times New Roman" w:hAnsi="Times New Roman" w:cs="Times New Roman"/>
                      <w:szCs w:val="21"/>
                    </w:rPr>
                  </w:pPr>
                  <w:r>
                    <w:rPr>
                      <w:rFonts w:ascii="Times New Roman" w:hAnsi="Times New Roman" w:eastAsia="宋体" w:cs="Times New Roman"/>
                      <w:szCs w:val="21"/>
                    </w:rPr>
                    <w:t>Agress1100</w:t>
                  </w:r>
                </w:p>
              </w:tc>
              <w:tc>
                <w:tcPr>
                  <w:tcW w:w="1404" w:type="dxa"/>
                  <w:vAlign w:val="center"/>
                </w:tcPr>
                <w:p>
                  <w:pPr>
                    <w:jc w:val="center"/>
                    <w:rPr>
                      <w:rFonts w:ascii="Times New Roman" w:hAnsi="Times New Roman" w:cs="Times New Roman"/>
                      <w:szCs w:val="21"/>
                    </w:rPr>
                  </w:pPr>
                  <w:r>
                    <w:rPr>
                      <w:rFonts w:ascii="Times New Roman" w:hAnsi="Times New Roman" w:eastAsia="宋体" w:cs="Times New Roman"/>
                      <w:szCs w:val="21"/>
                    </w:rPr>
                    <w:t>D110000026</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749" w:hRule="atLeast"/>
                <w:jc w:val="center"/>
              </w:trPr>
              <w:tc>
                <w:tcPr>
                  <w:tcW w:w="909" w:type="dxa"/>
                  <w:vAlign w:val="center"/>
                </w:tcPr>
                <w:p>
                  <w:pPr>
                    <w:widowControl/>
                    <w:jc w:val="center"/>
                    <w:rPr>
                      <w:rFonts w:ascii="Times New Roman" w:hAnsi="Times New Roman" w:cs="Times New Roman"/>
                      <w:szCs w:val="21"/>
                    </w:rPr>
                  </w:pPr>
                  <w:r>
                    <w:rPr>
                      <w:rFonts w:ascii="Times New Roman" w:hAnsi="Times New Roman" w:cs="Times New Roman"/>
                      <w:szCs w:val="21"/>
                    </w:rPr>
                    <w:t>噪声</w:t>
                  </w:r>
                </w:p>
              </w:tc>
              <w:tc>
                <w:tcPr>
                  <w:tcW w:w="1511" w:type="dxa"/>
                  <w:vAlign w:val="center"/>
                </w:tcPr>
                <w:p>
                  <w:pPr>
                    <w:jc w:val="center"/>
                    <w:rPr>
                      <w:rFonts w:ascii="Times New Roman" w:hAnsi="Times New Roman" w:cs="Times New Roman"/>
                      <w:szCs w:val="21"/>
                    </w:rPr>
                  </w:pPr>
                  <w:r>
                    <w:rPr>
                      <w:rFonts w:ascii="Times New Roman" w:hAnsi="Times New Roman" w:eastAsia="宋体" w:cs="Times New Roman"/>
                      <w:szCs w:val="21"/>
                    </w:rPr>
                    <w:t>工业企业厂界环境噪声</w:t>
                  </w:r>
                </w:p>
              </w:tc>
              <w:tc>
                <w:tcPr>
                  <w:tcW w:w="2834" w:type="dxa"/>
                  <w:vAlign w:val="center"/>
                </w:tcPr>
                <w:p>
                  <w:pPr>
                    <w:jc w:val="center"/>
                    <w:rPr>
                      <w:rFonts w:ascii="Times New Roman" w:hAnsi="Times New Roman" w:cs="Times New Roman"/>
                      <w:szCs w:val="21"/>
                    </w:rPr>
                  </w:pPr>
                  <w:r>
                    <w:rPr>
                      <w:rFonts w:ascii="Times New Roman" w:hAnsi="Times New Roman" w:eastAsia="宋体" w:cs="Times New Roman"/>
                      <w:szCs w:val="21"/>
                    </w:rPr>
                    <w:t>工业企业厂界环境噪声排放标准GB 12348-2008</w:t>
                  </w:r>
                </w:p>
              </w:tc>
              <w:tc>
                <w:tcPr>
                  <w:tcW w:w="1900" w:type="dxa"/>
                  <w:vAlign w:val="center"/>
                </w:tcPr>
                <w:p>
                  <w:pPr>
                    <w:jc w:val="center"/>
                    <w:rPr>
                      <w:rFonts w:ascii="Times New Roman" w:hAnsi="Times New Roman" w:cs="Times New Roman"/>
                      <w:szCs w:val="21"/>
                    </w:rPr>
                  </w:pPr>
                  <w:r>
                    <w:rPr>
                      <w:rFonts w:ascii="Times New Roman" w:hAnsi="Times New Roman" w:eastAsia="宋体" w:cs="Times New Roman"/>
                      <w:szCs w:val="21"/>
                    </w:rPr>
                    <w:t>多功能声级计</w:t>
                  </w:r>
                </w:p>
                <w:p>
                  <w:pPr>
                    <w:jc w:val="center"/>
                    <w:rPr>
                      <w:rFonts w:ascii="Times New Roman" w:hAnsi="Times New Roman" w:cs="Times New Roman"/>
                      <w:szCs w:val="21"/>
                    </w:rPr>
                  </w:pPr>
                  <w:r>
                    <w:rPr>
                      <w:rFonts w:ascii="Times New Roman" w:hAnsi="Times New Roman" w:eastAsia="宋体" w:cs="Times New Roman"/>
                      <w:szCs w:val="21"/>
                    </w:rPr>
                    <w:t>声校准器</w:t>
                  </w:r>
                </w:p>
              </w:tc>
              <w:tc>
                <w:tcPr>
                  <w:tcW w:w="1362" w:type="dxa"/>
                  <w:vAlign w:val="center"/>
                </w:tcPr>
                <w:p>
                  <w:pPr>
                    <w:jc w:val="center"/>
                    <w:rPr>
                      <w:rFonts w:ascii="Times New Roman" w:hAnsi="Times New Roman" w:cs="Times New Roman"/>
                      <w:szCs w:val="21"/>
                    </w:rPr>
                  </w:pPr>
                  <w:r>
                    <w:rPr>
                      <w:rFonts w:ascii="Times New Roman" w:hAnsi="Times New Roman" w:eastAsia="宋体" w:cs="Times New Roman"/>
                      <w:szCs w:val="21"/>
                    </w:rPr>
                    <w:t>AWA5688</w:t>
                  </w:r>
                </w:p>
                <w:p>
                  <w:pPr>
                    <w:jc w:val="center"/>
                    <w:rPr>
                      <w:rFonts w:ascii="Times New Roman" w:hAnsi="Times New Roman" w:cs="Times New Roman"/>
                      <w:szCs w:val="21"/>
                    </w:rPr>
                  </w:pPr>
                  <w:r>
                    <w:rPr>
                      <w:rFonts w:ascii="Times New Roman" w:hAnsi="Times New Roman" w:eastAsia="宋体" w:cs="Times New Roman"/>
                      <w:szCs w:val="21"/>
                    </w:rPr>
                    <w:t>AWA6221A</w:t>
                  </w:r>
                </w:p>
              </w:tc>
              <w:tc>
                <w:tcPr>
                  <w:tcW w:w="1404" w:type="dxa"/>
                  <w:vAlign w:val="center"/>
                </w:tcPr>
                <w:p>
                  <w:pPr>
                    <w:jc w:val="center"/>
                    <w:rPr>
                      <w:rFonts w:ascii="Times New Roman" w:hAnsi="Times New Roman" w:cs="Times New Roman"/>
                      <w:szCs w:val="21"/>
                    </w:rPr>
                  </w:pPr>
                  <w:r>
                    <w:rPr>
                      <w:rFonts w:ascii="Times New Roman" w:hAnsi="Times New Roman" w:eastAsia="宋体" w:cs="Times New Roman"/>
                      <w:szCs w:val="21"/>
                    </w:rPr>
                    <w:t>00321278</w:t>
                  </w:r>
                </w:p>
                <w:p>
                  <w:pPr>
                    <w:jc w:val="center"/>
                    <w:rPr>
                      <w:rFonts w:ascii="Times New Roman" w:hAnsi="Times New Roman" w:cs="Times New Roman"/>
                      <w:szCs w:val="21"/>
                    </w:rPr>
                  </w:pPr>
                  <w:r>
                    <w:rPr>
                      <w:rFonts w:ascii="Times New Roman" w:hAnsi="Times New Roman" w:eastAsia="宋体" w:cs="Times New Roman"/>
                      <w:szCs w:val="21"/>
                    </w:rPr>
                    <w:t>1005305</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749" w:hRule="atLeast"/>
                <w:jc w:val="center"/>
              </w:trPr>
              <w:tc>
                <w:tcPr>
                  <w:tcW w:w="909" w:type="dxa"/>
                  <w:vMerge w:val="restart"/>
                  <w:vAlign w:val="center"/>
                </w:tcPr>
                <w:p>
                  <w:pPr>
                    <w:widowControl/>
                    <w:jc w:val="center"/>
                    <w:rPr>
                      <w:rFonts w:ascii="Times New Roman" w:hAnsi="Times New Roman" w:cs="Times New Roman"/>
                      <w:szCs w:val="21"/>
                    </w:rPr>
                  </w:pPr>
                  <w:r>
                    <w:rPr>
                      <w:rFonts w:ascii="Times New Roman" w:hAnsi="Times New Roman" w:cs="Times New Roman"/>
                      <w:szCs w:val="21"/>
                    </w:rPr>
                    <w:t>生活污水</w:t>
                  </w:r>
                </w:p>
              </w:tc>
              <w:tc>
                <w:tcPr>
                  <w:tcW w:w="1511" w:type="dxa"/>
                  <w:vAlign w:val="center"/>
                </w:tcPr>
                <w:p>
                  <w:pPr>
                    <w:jc w:val="center"/>
                    <w:rPr>
                      <w:rFonts w:ascii="Times New Roman" w:hAnsi="Times New Roman" w:cs="Times New Roman"/>
                      <w:szCs w:val="21"/>
                    </w:rPr>
                  </w:pPr>
                  <w:r>
                    <w:rPr>
                      <w:rFonts w:ascii="Times New Roman" w:hAnsi="Times New Roman" w:cs="Times New Roman"/>
                      <w:szCs w:val="21"/>
                    </w:rPr>
                    <w:t>COD</w:t>
                  </w:r>
                </w:p>
              </w:tc>
              <w:tc>
                <w:tcPr>
                  <w:tcW w:w="2834" w:type="dxa"/>
                  <w:vAlign w:val="center"/>
                </w:tcPr>
                <w:p>
                  <w:pPr>
                    <w:jc w:val="center"/>
                    <w:rPr>
                      <w:rFonts w:ascii="Times New Roman" w:hAnsi="Times New Roman" w:cs="Times New Roman"/>
                      <w:szCs w:val="21"/>
                    </w:rPr>
                  </w:pPr>
                  <w:r>
                    <w:rPr>
                      <w:rFonts w:ascii="Times New Roman" w:hAnsi="Times New Roman" w:eastAsia="宋体" w:cs="Times New Roman"/>
                      <w:szCs w:val="21"/>
                    </w:rPr>
                    <w:t>水质 化学需氧量的测定 重铬酸盐法HJ 828-2017</w:t>
                  </w:r>
                </w:p>
              </w:tc>
              <w:tc>
                <w:tcPr>
                  <w:tcW w:w="1900" w:type="dxa"/>
                  <w:vAlign w:val="center"/>
                </w:tcPr>
                <w:p>
                  <w:pPr>
                    <w:jc w:val="center"/>
                    <w:rPr>
                      <w:rFonts w:ascii="Times New Roman" w:hAnsi="Times New Roman" w:cs="Times New Roman"/>
                      <w:szCs w:val="21"/>
                    </w:rPr>
                  </w:pPr>
                  <w:r>
                    <w:rPr>
                      <w:rFonts w:ascii="Times New Roman" w:hAnsi="Times New Roman" w:eastAsia="宋体" w:cs="Times New Roman"/>
                      <w:szCs w:val="21"/>
                    </w:rPr>
                    <w:t>滴定管</w:t>
                  </w:r>
                </w:p>
              </w:tc>
              <w:tc>
                <w:tcPr>
                  <w:tcW w:w="1362" w:type="dxa"/>
                  <w:vAlign w:val="center"/>
                </w:tcPr>
                <w:p>
                  <w:pPr>
                    <w:jc w:val="center"/>
                    <w:rPr>
                      <w:rFonts w:ascii="Times New Roman" w:hAnsi="Times New Roman" w:cs="Times New Roman"/>
                      <w:szCs w:val="21"/>
                    </w:rPr>
                  </w:pPr>
                  <w:r>
                    <w:rPr>
                      <w:rFonts w:ascii="Times New Roman" w:hAnsi="Times New Roman" w:eastAsia="宋体" w:cs="Times New Roman"/>
                      <w:szCs w:val="21"/>
                    </w:rPr>
                    <w:t>——</w:t>
                  </w:r>
                </w:p>
              </w:tc>
              <w:tc>
                <w:tcPr>
                  <w:tcW w:w="1404" w:type="dxa"/>
                  <w:vAlign w:val="center"/>
                </w:tcPr>
                <w:p>
                  <w:pPr>
                    <w:jc w:val="center"/>
                    <w:rPr>
                      <w:rFonts w:ascii="Times New Roman" w:hAnsi="Times New Roman" w:cs="Times New Roman"/>
                      <w:szCs w:val="21"/>
                    </w:rPr>
                  </w:pPr>
                  <w:r>
                    <w:rPr>
                      <w:rFonts w:ascii="Times New Roman" w:hAnsi="Times New Roman" w:eastAsia="宋体" w:cs="Times New Roman"/>
                      <w:szCs w:val="21"/>
                    </w:rPr>
                    <w:t>——</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749" w:hRule="atLeast"/>
                <w:jc w:val="center"/>
              </w:trPr>
              <w:tc>
                <w:tcPr>
                  <w:tcW w:w="909" w:type="dxa"/>
                  <w:vMerge w:val="continue"/>
                  <w:vAlign w:val="center"/>
                </w:tcPr>
                <w:p>
                  <w:pPr>
                    <w:widowControl/>
                    <w:jc w:val="center"/>
                    <w:rPr>
                      <w:rFonts w:ascii="Times New Roman" w:hAnsi="Times New Roman" w:cs="Times New Roman"/>
                      <w:szCs w:val="21"/>
                    </w:rPr>
                  </w:pPr>
                </w:p>
              </w:tc>
              <w:tc>
                <w:tcPr>
                  <w:tcW w:w="1511" w:type="dxa"/>
                  <w:vAlign w:val="center"/>
                </w:tcPr>
                <w:p>
                  <w:pPr>
                    <w:jc w:val="center"/>
                    <w:rPr>
                      <w:rFonts w:ascii="Times New Roman" w:hAnsi="Times New Roman" w:cs="Times New Roman"/>
                      <w:szCs w:val="21"/>
                    </w:rPr>
                  </w:pPr>
                  <w:r>
                    <w:rPr>
                      <w:rFonts w:ascii="Times New Roman" w:hAnsi="Times New Roman" w:eastAsia="宋体" w:cs="Times New Roman"/>
                      <w:szCs w:val="21"/>
                    </w:rPr>
                    <w:t>氨氮</w:t>
                  </w:r>
                </w:p>
              </w:tc>
              <w:tc>
                <w:tcPr>
                  <w:tcW w:w="2834" w:type="dxa"/>
                  <w:vAlign w:val="center"/>
                </w:tcPr>
                <w:p>
                  <w:pPr>
                    <w:jc w:val="center"/>
                    <w:rPr>
                      <w:rFonts w:ascii="Times New Roman" w:hAnsi="Times New Roman" w:cs="Times New Roman"/>
                      <w:szCs w:val="21"/>
                    </w:rPr>
                  </w:pPr>
                  <w:r>
                    <w:rPr>
                      <w:rFonts w:ascii="Times New Roman" w:hAnsi="Times New Roman" w:eastAsia="宋体" w:cs="Times New Roman"/>
                      <w:szCs w:val="21"/>
                      <w:lang w:val="zh-CN"/>
                    </w:rPr>
                    <w:t>水质 氨氮的测定 纳氏试剂分光光度法 HJ 535-2009</w:t>
                  </w:r>
                </w:p>
              </w:tc>
              <w:tc>
                <w:tcPr>
                  <w:tcW w:w="1900" w:type="dxa"/>
                  <w:vAlign w:val="center"/>
                </w:tcPr>
                <w:p>
                  <w:pPr>
                    <w:jc w:val="center"/>
                    <w:rPr>
                      <w:rFonts w:ascii="Times New Roman" w:hAnsi="Times New Roman" w:cs="Times New Roman"/>
                      <w:szCs w:val="21"/>
                    </w:rPr>
                  </w:pPr>
                  <w:r>
                    <w:rPr>
                      <w:rFonts w:ascii="Times New Roman" w:hAnsi="Times New Roman" w:eastAsia="宋体" w:cs="Times New Roman"/>
                      <w:szCs w:val="21"/>
                    </w:rPr>
                    <w:t>可见分光光度计</w:t>
                  </w:r>
                </w:p>
              </w:tc>
              <w:tc>
                <w:tcPr>
                  <w:tcW w:w="1362" w:type="dxa"/>
                  <w:vAlign w:val="center"/>
                </w:tcPr>
                <w:p>
                  <w:pPr>
                    <w:jc w:val="center"/>
                    <w:rPr>
                      <w:rFonts w:ascii="Times New Roman" w:hAnsi="Times New Roman" w:cs="Times New Roman"/>
                      <w:szCs w:val="21"/>
                    </w:rPr>
                  </w:pPr>
                  <w:r>
                    <w:rPr>
                      <w:rFonts w:ascii="Times New Roman" w:hAnsi="Times New Roman" w:eastAsia="宋体" w:cs="Times New Roman"/>
                      <w:szCs w:val="21"/>
                    </w:rPr>
                    <w:t>722</w:t>
                  </w:r>
                </w:p>
              </w:tc>
              <w:tc>
                <w:tcPr>
                  <w:tcW w:w="1404" w:type="dxa"/>
                  <w:vAlign w:val="center"/>
                </w:tcPr>
                <w:p>
                  <w:pPr>
                    <w:jc w:val="center"/>
                    <w:rPr>
                      <w:rFonts w:ascii="Times New Roman" w:hAnsi="Times New Roman" w:cs="Times New Roman"/>
                      <w:szCs w:val="21"/>
                    </w:rPr>
                  </w:pPr>
                  <w:r>
                    <w:rPr>
                      <w:rFonts w:ascii="Times New Roman" w:hAnsi="Times New Roman" w:eastAsia="宋体" w:cs="Times New Roman"/>
                      <w:szCs w:val="21"/>
                    </w:rPr>
                    <w:t>5374</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749" w:hRule="atLeast"/>
                <w:jc w:val="center"/>
              </w:trPr>
              <w:tc>
                <w:tcPr>
                  <w:tcW w:w="909" w:type="dxa"/>
                  <w:vMerge w:val="continue"/>
                  <w:vAlign w:val="center"/>
                </w:tcPr>
                <w:p>
                  <w:pPr>
                    <w:widowControl/>
                    <w:jc w:val="center"/>
                    <w:rPr>
                      <w:rFonts w:ascii="Times New Roman" w:hAnsi="Times New Roman" w:cs="Times New Roman"/>
                      <w:szCs w:val="21"/>
                    </w:rPr>
                  </w:pPr>
                </w:p>
              </w:tc>
              <w:tc>
                <w:tcPr>
                  <w:tcW w:w="1511" w:type="dxa"/>
                  <w:vAlign w:val="center"/>
                </w:tcPr>
                <w:p>
                  <w:pPr>
                    <w:jc w:val="center"/>
                    <w:rPr>
                      <w:rFonts w:ascii="Times New Roman" w:hAnsi="Times New Roman" w:cs="Times New Roman"/>
                      <w:szCs w:val="21"/>
                    </w:rPr>
                  </w:pPr>
                  <w:r>
                    <w:rPr>
                      <w:rFonts w:ascii="Times New Roman" w:hAnsi="Times New Roman" w:eastAsia="宋体" w:cs="Times New Roman"/>
                      <w:szCs w:val="21"/>
                    </w:rPr>
                    <w:t>动植物油</w:t>
                  </w:r>
                </w:p>
              </w:tc>
              <w:tc>
                <w:tcPr>
                  <w:tcW w:w="2834" w:type="dxa"/>
                  <w:vAlign w:val="center"/>
                </w:tcPr>
                <w:p>
                  <w:pPr>
                    <w:jc w:val="center"/>
                    <w:rPr>
                      <w:rFonts w:ascii="Times New Roman" w:hAnsi="Times New Roman" w:cs="Times New Roman"/>
                      <w:szCs w:val="21"/>
                    </w:rPr>
                  </w:pPr>
                  <w:r>
                    <w:rPr>
                      <w:rFonts w:ascii="Times New Roman" w:hAnsi="Times New Roman" w:eastAsia="宋体" w:cs="Times New Roman"/>
                      <w:szCs w:val="21"/>
                    </w:rPr>
                    <w:t>水质 动植物油的测定 红外分光光度法 HJ 637-2018</w:t>
                  </w:r>
                </w:p>
              </w:tc>
              <w:tc>
                <w:tcPr>
                  <w:tcW w:w="1900" w:type="dxa"/>
                  <w:vAlign w:val="center"/>
                </w:tcPr>
                <w:p>
                  <w:pPr>
                    <w:jc w:val="center"/>
                    <w:rPr>
                      <w:rFonts w:ascii="Times New Roman" w:hAnsi="Times New Roman" w:cs="Times New Roman"/>
                      <w:szCs w:val="21"/>
                    </w:rPr>
                  </w:pPr>
                  <w:r>
                    <w:rPr>
                      <w:rFonts w:ascii="Times New Roman" w:hAnsi="Times New Roman" w:eastAsia="宋体" w:cs="Times New Roman"/>
                      <w:szCs w:val="21"/>
                    </w:rPr>
                    <w:t>红外测油仪</w:t>
                  </w:r>
                </w:p>
              </w:tc>
              <w:tc>
                <w:tcPr>
                  <w:tcW w:w="1362" w:type="dxa"/>
                  <w:vAlign w:val="center"/>
                </w:tcPr>
                <w:p>
                  <w:pPr>
                    <w:jc w:val="center"/>
                    <w:rPr>
                      <w:rFonts w:ascii="Times New Roman" w:hAnsi="Times New Roman" w:cs="Times New Roman"/>
                      <w:szCs w:val="21"/>
                    </w:rPr>
                  </w:pPr>
                  <w:r>
                    <w:rPr>
                      <w:rFonts w:ascii="Times New Roman" w:hAnsi="Times New Roman" w:eastAsia="宋体" w:cs="Times New Roman"/>
                      <w:szCs w:val="21"/>
                    </w:rPr>
                    <w:t>OIL460</w:t>
                  </w:r>
                </w:p>
              </w:tc>
              <w:tc>
                <w:tcPr>
                  <w:tcW w:w="1404" w:type="dxa"/>
                  <w:vAlign w:val="center"/>
                </w:tcPr>
                <w:p>
                  <w:pPr>
                    <w:jc w:val="center"/>
                    <w:rPr>
                      <w:rFonts w:ascii="Times New Roman" w:hAnsi="Times New Roman" w:cs="Times New Roman"/>
                      <w:szCs w:val="21"/>
                    </w:rPr>
                  </w:pPr>
                  <w:r>
                    <w:rPr>
                      <w:rFonts w:ascii="Times New Roman" w:hAnsi="Times New Roman" w:eastAsia="宋体" w:cs="Times New Roman"/>
                      <w:szCs w:val="21"/>
                    </w:rPr>
                    <w:t>11111C15080217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749" w:hRule="atLeast"/>
                <w:jc w:val="center"/>
              </w:trPr>
              <w:tc>
                <w:tcPr>
                  <w:tcW w:w="909" w:type="dxa"/>
                  <w:vMerge w:val="continue"/>
                  <w:vAlign w:val="center"/>
                </w:tcPr>
                <w:p>
                  <w:pPr>
                    <w:widowControl/>
                    <w:jc w:val="center"/>
                    <w:rPr>
                      <w:rFonts w:ascii="Times New Roman" w:hAnsi="Times New Roman" w:cs="Times New Roman"/>
                      <w:szCs w:val="21"/>
                    </w:rPr>
                  </w:pPr>
                </w:p>
              </w:tc>
              <w:tc>
                <w:tcPr>
                  <w:tcW w:w="1511" w:type="dxa"/>
                  <w:vAlign w:val="center"/>
                </w:tcPr>
                <w:p>
                  <w:pPr>
                    <w:jc w:val="center"/>
                    <w:rPr>
                      <w:rFonts w:ascii="Times New Roman" w:hAnsi="Times New Roman" w:cs="Times New Roman"/>
                      <w:szCs w:val="21"/>
                    </w:rPr>
                  </w:pPr>
                  <w:r>
                    <w:rPr>
                      <w:rFonts w:ascii="Times New Roman" w:hAnsi="Times New Roman" w:eastAsia="宋体" w:cs="Times New Roman"/>
                      <w:szCs w:val="21"/>
                    </w:rPr>
                    <w:t>SS</w:t>
                  </w:r>
                </w:p>
              </w:tc>
              <w:tc>
                <w:tcPr>
                  <w:tcW w:w="2834" w:type="dxa"/>
                  <w:vAlign w:val="center"/>
                </w:tcPr>
                <w:p>
                  <w:pPr>
                    <w:jc w:val="center"/>
                    <w:rPr>
                      <w:rFonts w:ascii="Times New Roman" w:hAnsi="Times New Roman" w:cs="Times New Roman"/>
                      <w:szCs w:val="21"/>
                    </w:rPr>
                  </w:pPr>
                  <w:r>
                    <w:rPr>
                      <w:rFonts w:ascii="Times New Roman" w:hAnsi="Times New Roman" w:eastAsia="宋体" w:cs="Times New Roman"/>
                      <w:szCs w:val="21"/>
                    </w:rPr>
                    <w:t>水质 悬浮物的测定 重量法GB/T11901-1989</w:t>
                  </w:r>
                </w:p>
              </w:tc>
              <w:tc>
                <w:tcPr>
                  <w:tcW w:w="1900" w:type="dxa"/>
                  <w:vAlign w:val="center"/>
                </w:tcPr>
                <w:p>
                  <w:pPr>
                    <w:jc w:val="center"/>
                    <w:rPr>
                      <w:rFonts w:ascii="Times New Roman" w:hAnsi="Times New Roman" w:cs="Times New Roman"/>
                      <w:szCs w:val="21"/>
                    </w:rPr>
                  </w:pPr>
                  <w:r>
                    <w:rPr>
                      <w:rFonts w:ascii="Times New Roman" w:hAnsi="Times New Roman" w:eastAsia="宋体" w:cs="Times New Roman"/>
                      <w:szCs w:val="21"/>
                    </w:rPr>
                    <w:t>分析天平</w:t>
                  </w:r>
                </w:p>
                <w:p>
                  <w:pPr>
                    <w:jc w:val="center"/>
                    <w:rPr>
                      <w:rFonts w:ascii="Times New Roman" w:hAnsi="Times New Roman" w:cs="Times New Roman"/>
                      <w:szCs w:val="21"/>
                    </w:rPr>
                  </w:pPr>
                  <w:r>
                    <w:rPr>
                      <w:rFonts w:ascii="Times New Roman" w:hAnsi="Times New Roman" w:eastAsia="宋体" w:cs="Times New Roman"/>
                      <w:szCs w:val="21"/>
                    </w:rPr>
                    <w:t>电热鼓风干燥箱</w:t>
                  </w:r>
                </w:p>
              </w:tc>
              <w:tc>
                <w:tcPr>
                  <w:tcW w:w="1362" w:type="dxa"/>
                  <w:vAlign w:val="center"/>
                </w:tcPr>
                <w:p>
                  <w:pPr>
                    <w:jc w:val="center"/>
                    <w:rPr>
                      <w:rFonts w:ascii="Times New Roman" w:hAnsi="Times New Roman" w:cs="Times New Roman"/>
                      <w:szCs w:val="21"/>
                    </w:rPr>
                  </w:pPr>
                  <w:r>
                    <w:rPr>
                      <w:rFonts w:ascii="Times New Roman" w:hAnsi="Times New Roman" w:eastAsia="宋体" w:cs="Times New Roman"/>
                      <w:szCs w:val="21"/>
                    </w:rPr>
                    <w:t>AE240S</w:t>
                  </w:r>
                </w:p>
                <w:p>
                  <w:pPr>
                    <w:jc w:val="center"/>
                    <w:rPr>
                      <w:rFonts w:ascii="Times New Roman" w:hAnsi="Times New Roman" w:cs="Times New Roman"/>
                      <w:szCs w:val="21"/>
                    </w:rPr>
                  </w:pPr>
                  <w:r>
                    <w:rPr>
                      <w:rFonts w:ascii="Times New Roman" w:hAnsi="Times New Roman" w:eastAsia="宋体" w:cs="Times New Roman"/>
                      <w:szCs w:val="21"/>
                    </w:rPr>
                    <w:t>DHG-8245A</w:t>
                  </w:r>
                </w:p>
              </w:tc>
              <w:tc>
                <w:tcPr>
                  <w:tcW w:w="1404" w:type="dxa"/>
                  <w:vAlign w:val="center"/>
                </w:tcPr>
                <w:p>
                  <w:pPr>
                    <w:jc w:val="center"/>
                    <w:rPr>
                      <w:rFonts w:ascii="Times New Roman" w:hAnsi="Times New Roman" w:cs="Times New Roman"/>
                      <w:szCs w:val="21"/>
                    </w:rPr>
                  </w:pPr>
                  <w:r>
                    <w:rPr>
                      <w:rFonts w:ascii="Times New Roman" w:hAnsi="Times New Roman" w:eastAsia="宋体" w:cs="Times New Roman"/>
                      <w:szCs w:val="21"/>
                    </w:rPr>
                    <w:t>1221254337</w:t>
                  </w:r>
                </w:p>
                <w:p>
                  <w:pPr>
                    <w:jc w:val="center"/>
                    <w:rPr>
                      <w:rFonts w:ascii="Times New Roman" w:hAnsi="Times New Roman" w:cs="Times New Roman"/>
                      <w:szCs w:val="21"/>
                    </w:rPr>
                  </w:pPr>
                  <w:r>
                    <w:rPr>
                      <w:rFonts w:ascii="Times New Roman" w:hAnsi="Times New Roman" w:eastAsia="宋体" w:cs="Times New Roman"/>
                      <w:szCs w:val="21"/>
                    </w:rPr>
                    <w:t>151243391</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749" w:hRule="atLeast"/>
                <w:jc w:val="center"/>
              </w:trPr>
              <w:tc>
                <w:tcPr>
                  <w:tcW w:w="909" w:type="dxa"/>
                  <w:vMerge w:val="continue"/>
                  <w:vAlign w:val="center"/>
                </w:tcPr>
                <w:p>
                  <w:pPr>
                    <w:widowControl/>
                    <w:jc w:val="center"/>
                    <w:rPr>
                      <w:rFonts w:ascii="Times New Roman" w:hAnsi="Times New Roman" w:cs="Times New Roman"/>
                      <w:szCs w:val="21"/>
                    </w:rPr>
                  </w:pPr>
                </w:p>
              </w:tc>
              <w:tc>
                <w:tcPr>
                  <w:tcW w:w="1511" w:type="dxa"/>
                  <w:vAlign w:val="center"/>
                </w:tcPr>
                <w:p>
                  <w:pPr>
                    <w:jc w:val="center"/>
                    <w:rPr>
                      <w:rFonts w:ascii="Times New Roman" w:hAnsi="Times New Roman" w:cs="Times New Roman"/>
                      <w:szCs w:val="21"/>
                    </w:rPr>
                  </w:pPr>
                  <w:r>
                    <w:rPr>
                      <w:rFonts w:ascii="Times New Roman" w:hAnsi="Times New Roman" w:eastAsia="宋体" w:cs="Times New Roman"/>
                      <w:szCs w:val="21"/>
                    </w:rPr>
                    <w:t>粪大肠菌群</w:t>
                  </w:r>
                </w:p>
              </w:tc>
              <w:tc>
                <w:tcPr>
                  <w:tcW w:w="2834" w:type="dxa"/>
                  <w:vAlign w:val="center"/>
                </w:tcPr>
                <w:p>
                  <w:pPr>
                    <w:jc w:val="center"/>
                    <w:rPr>
                      <w:rFonts w:ascii="Times New Roman" w:hAnsi="Times New Roman" w:cs="Times New Roman"/>
                      <w:szCs w:val="21"/>
                    </w:rPr>
                  </w:pPr>
                  <w:r>
                    <w:rPr>
                      <w:rFonts w:ascii="Times New Roman" w:hAnsi="Times New Roman" w:eastAsia="宋体" w:cs="Times New Roman"/>
                      <w:szCs w:val="21"/>
                    </w:rPr>
                    <w:t>水质 粪大肠菌群的测定 多管发酵法 HJ 347.2-2018</w:t>
                  </w:r>
                </w:p>
              </w:tc>
              <w:tc>
                <w:tcPr>
                  <w:tcW w:w="1900" w:type="dxa"/>
                  <w:vAlign w:val="center"/>
                </w:tcPr>
                <w:p>
                  <w:pPr>
                    <w:jc w:val="center"/>
                    <w:rPr>
                      <w:rFonts w:ascii="Times New Roman" w:hAnsi="Times New Roman" w:cs="Times New Roman"/>
                      <w:szCs w:val="21"/>
                    </w:rPr>
                  </w:pPr>
                  <w:r>
                    <w:rPr>
                      <w:rFonts w:ascii="Times New Roman" w:hAnsi="Times New Roman" w:eastAsia="宋体" w:cs="Times New Roman"/>
                      <w:szCs w:val="21"/>
                    </w:rPr>
                    <w:t>生化培养箱</w:t>
                  </w:r>
                </w:p>
              </w:tc>
              <w:tc>
                <w:tcPr>
                  <w:tcW w:w="1362" w:type="dxa"/>
                  <w:vAlign w:val="center"/>
                </w:tcPr>
                <w:p>
                  <w:pPr>
                    <w:jc w:val="center"/>
                    <w:rPr>
                      <w:rFonts w:ascii="Times New Roman" w:hAnsi="Times New Roman" w:cs="Times New Roman"/>
                      <w:szCs w:val="21"/>
                    </w:rPr>
                  </w:pPr>
                  <w:r>
                    <w:rPr>
                      <w:rFonts w:ascii="Times New Roman" w:hAnsi="Times New Roman" w:eastAsia="宋体" w:cs="Times New Roman"/>
                      <w:szCs w:val="21"/>
                    </w:rPr>
                    <w:t>LRH-150</w:t>
                  </w:r>
                </w:p>
              </w:tc>
              <w:tc>
                <w:tcPr>
                  <w:tcW w:w="1404" w:type="dxa"/>
                  <w:vAlign w:val="center"/>
                </w:tcPr>
                <w:p>
                  <w:pPr>
                    <w:jc w:val="center"/>
                    <w:rPr>
                      <w:rFonts w:ascii="Times New Roman" w:hAnsi="Times New Roman" w:cs="Times New Roman"/>
                      <w:szCs w:val="21"/>
                    </w:rPr>
                  </w:pPr>
                  <w:r>
                    <w:rPr>
                      <w:rFonts w:ascii="Times New Roman" w:hAnsi="Times New Roman" w:eastAsia="宋体" w:cs="Times New Roman"/>
                      <w:szCs w:val="21"/>
                    </w:rPr>
                    <w:t>20220721160</w:t>
                  </w:r>
                </w:p>
              </w:tc>
            </w:tr>
          </w:tbl>
          <w:p>
            <w:pPr>
              <w:spacing w:line="500" w:lineRule="exact"/>
              <w:ind w:firstLine="420" w:firstLineChars="200"/>
              <w:rPr>
                <w:rFonts w:ascii="Times New Roman" w:hAnsi="Times New Roman" w:eastAsia="宋体" w:cs="Times New Roman"/>
                <w:color w:val="FF0000"/>
                <w:szCs w:val="21"/>
              </w:rPr>
            </w:pPr>
          </w:p>
          <w:p>
            <w:pPr>
              <w:pStyle w:val="25"/>
              <w:ind w:firstLine="0"/>
              <w:rPr>
                <w:rFonts w:hAnsi="Times New Roman" w:cs="Times New Roman"/>
                <w:color w:val="FF0000"/>
              </w:rPr>
            </w:pPr>
          </w:p>
          <w:p>
            <w:pPr>
              <w:pStyle w:val="25"/>
              <w:ind w:firstLine="0"/>
              <w:rPr>
                <w:rFonts w:hAnsi="Times New Roman" w:cs="Times New Roman"/>
                <w:color w:val="FF0000"/>
              </w:rPr>
            </w:pPr>
          </w:p>
          <w:p>
            <w:pPr>
              <w:pStyle w:val="25"/>
              <w:ind w:firstLine="0"/>
              <w:rPr>
                <w:rFonts w:hAnsi="Times New Roman" w:cs="Times New Roman"/>
                <w:color w:val="FF0000"/>
              </w:rPr>
            </w:pPr>
          </w:p>
          <w:p>
            <w:pPr>
              <w:pStyle w:val="2"/>
            </w:pPr>
          </w:p>
        </w:tc>
      </w:tr>
    </w:tbl>
    <w:p>
      <w:pPr>
        <w:rPr>
          <w:rFonts w:ascii="Times New Roman" w:hAnsi="Times New Roman" w:eastAsia="仿宋_GB2312" w:cs="Times New Roman"/>
          <w:b/>
          <w:color w:val="FF0000"/>
          <w:szCs w:val="21"/>
        </w:rPr>
      </w:pPr>
    </w:p>
    <w:p>
      <w:pPr>
        <w:pStyle w:val="3"/>
        <w:spacing w:before="0" w:after="0" w:line="500" w:lineRule="exact"/>
        <w:rPr>
          <w:rFonts w:ascii="Times New Roman" w:hAnsi="Times New Roman" w:cs="Times New Roman"/>
          <w:kern w:val="2"/>
          <w:sz w:val="24"/>
          <w:szCs w:val="24"/>
        </w:rPr>
      </w:pPr>
      <w:r>
        <w:rPr>
          <w:rFonts w:ascii="Times New Roman" w:hAnsi="Times New Roman" w:cs="Times New Roman"/>
          <w:kern w:val="2"/>
          <w:sz w:val="24"/>
          <w:szCs w:val="24"/>
        </w:rPr>
        <w:t>表六</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00" w:type="pct"/>
            <w:vAlign w:val="center"/>
          </w:tcPr>
          <w:p>
            <w:pPr>
              <w:spacing w:line="500" w:lineRule="exact"/>
              <w:ind w:firstLine="422" w:firstLineChars="200"/>
              <w:rPr>
                <w:rFonts w:ascii="Times New Roman" w:hAnsi="Times New Roman" w:eastAsia="宋体" w:cs="Times New Roman"/>
                <w:b/>
                <w:szCs w:val="21"/>
              </w:rPr>
            </w:pPr>
            <w:r>
              <w:rPr>
                <w:rFonts w:ascii="Times New Roman" w:hAnsi="Times New Roman" w:eastAsia="宋体" w:cs="Times New Roman"/>
                <w:b/>
                <w:szCs w:val="21"/>
              </w:rPr>
              <w:t>验收监测内容：</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1、废气</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（1）无组织废气</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监测项目：颗粒物、沥青烟、苯并（a）芘；</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监测点位：4个，分别为厂界上风向1个监测点位，下风向3个监测点位；</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监测频次：3次/天，连续监测2天。</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（2）有组织废气</w:t>
            </w:r>
          </w:p>
          <w:p>
            <w:pPr>
              <w:widowControl/>
              <w:adjustRightInd w:val="0"/>
              <w:snapToGrid w:val="0"/>
              <w:spacing w:line="5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lang w:val="en-US" w:eastAsia="zh-CN"/>
              </w:rPr>
              <w:t>1）、</w:t>
            </w:r>
            <w:r>
              <w:rPr>
                <w:rFonts w:ascii="Times New Roman" w:hAnsi="Times New Roman" w:eastAsia="宋体" w:cs="Times New Roman"/>
                <w:szCs w:val="21"/>
              </w:rPr>
              <w:t>导热油炉废气</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检测项目：SO</w:t>
            </w:r>
            <w:r>
              <w:rPr>
                <w:rFonts w:ascii="Times New Roman" w:hAnsi="Times New Roman" w:eastAsia="宋体" w:cs="Times New Roman"/>
                <w:szCs w:val="21"/>
                <w:vertAlign w:val="subscript"/>
              </w:rPr>
              <w:t>2</w:t>
            </w:r>
            <w:r>
              <w:rPr>
                <w:rFonts w:ascii="Times New Roman" w:hAnsi="Times New Roman" w:eastAsia="宋体" w:cs="Times New Roman"/>
                <w:szCs w:val="21"/>
              </w:rPr>
              <w:t>、NOx、颗粒物、烟气黑度；</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检测点位：1个，导热油炉排气筒；</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检测频次：每天3次，连续监测2天。</w:t>
            </w:r>
          </w:p>
          <w:p>
            <w:pPr>
              <w:widowControl/>
              <w:adjustRightInd w:val="0"/>
              <w:snapToGrid w:val="0"/>
              <w:spacing w:line="5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lang w:val="en-US" w:eastAsia="zh-CN"/>
              </w:rPr>
              <w:t>2）、</w:t>
            </w:r>
            <w:r>
              <w:rPr>
                <w:rFonts w:ascii="Times New Roman" w:hAnsi="Times New Roman" w:eastAsia="宋体" w:cs="Times New Roman"/>
                <w:szCs w:val="21"/>
              </w:rPr>
              <w:t>供暖锅炉废气</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检测项目：SO</w:t>
            </w:r>
            <w:r>
              <w:rPr>
                <w:rFonts w:ascii="Times New Roman" w:hAnsi="Times New Roman" w:eastAsia="宋体" w:cs="Times New Roman"/>
                <w:szCs w:val="21"/>
                <w:vertAlign w:val="subscript"/>
              </w:rPr>
              <w:t>2</w:t>
            </w:r>
            <w:r>
              <w:rPr>
                <w:rFonts w:ascii="Times New Roman" w:hAnsi="Times New Roman" w:eastAsia="宋体" w:cs="Times New Roman"/>
                <w:szCs w:val="21"/>
              </w:rPr>
              <w:t>、NOx、颗粒物、烟气黑度；</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检测点位：1个，供暖锅炉排气筒；</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检测频次：每天3次，连续监测2天。</w:t>
            </w:r>
          </w:p>
          <w:p>
            <w:pPr>
              <w:widowControl/>
              <w:adjustRightInd w:val="0"/>
              <w:snapToGrid w:val="0"/>
              <w:spacing w:line="5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lang w:val="en-US" w:eastAsia="zh-CN"/>
              </w:rPr>
              <w:t>3）、</w:t>
            </w:r>
            <w:r>
              <w:rPr>
                <w:rFonts w:ascii="Times New Roman" w:hAnsi="Times New Roman" w:eastAsia="宋体" w:cs="Times New Roman"/>
                <w:szCs w:val="21"/>
              </w:rPr>
              <w:t>上料混料排气筒废气</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检测项目：颗粒物；</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检测点位：1个，上料混料排气筒；</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检测频次：每天3次，连续监测2天。</w:t>
            </w:r>
          </w:p>
          <w:p>
            <w:pPr>
              <w:widowControl/>
              <w:adjustRightInd w:val="0"/>
              <w:snapToGrid w:val="0"/>
              <w:spacing w:line="5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lang w:val="en-US" w:eastAsia="zh-CN"/>
              </w:rPr>
              <w:t>4）、</w:t>
            </w:r>
            <w:r>
              <w:rPr>
                <w:rFonts w:ascii="Times New Roman" w:hAnsi="Times New Roman" w:eastAsia="宋体" w:cs="Times New Roman"/>
                <w:szCs w:val="21"/>
              </w:rPr>
              <w:t>食堂油烟废气</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检测项目：油烟；</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检测点位：1个，食堂油烟排气筒；</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检测频次：每天5次，连续监测2天。</w:t>
            </w:r>
          </w:p>
          <w:p>
            <w:pPr>
              <w:widowControl/>
              <w:adjustRightInd w:val="0"/>
              <w:snapToGrid w:val="0"/>
              <w:spacing w:line="5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lang w:val="en-US" w:eastAsia="zh-CN"/>
              </w:rPr>
              <w:t>5）、</w:t>
            </w:r>
            <w:r>
              <w:rPr>
                <w:rFonts w:ascii="Times New Roman" w:hAnsi="Times New Roman" w:eastAsia="宋体" w:cs="Times New Roman"/>
                <w:szCs w:val="21"/>
              </w:rPr>
              <w:t>干燥筒排气筒废气</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检测项目：SO</w:t>
            </w:r>
            <w:r>
              <w:rPr>
                <w:rFonts w:ascii="Times New Roman" w:hAnsi="Times New Roman" w:eastAsia="宋体" w:cs="Times New Roman"/>
                <w:szCs w:val="21"/>
                <w:vertAlign w:val="subscript"/>
              </w:rPr>
              <w:t>2</w:t>
            </w:r>
            <w:r>
              <w:rPr>
                <w:rFonts w:ascii="Times New Roman" w:hAnsi="Times New Roman" w:eastAsia="宋体" w:cs="Times New Roman"/>
                <w:szCs w:val="21"/>
              </w:rPr>
              <w:t>、NOx、烟尘；</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检测点位：1个，干燥筒排气筒；</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检测频次：每天3次，连续监测2天。</w:t>
            </w:r>
          </w:p>
          <w:p>
            <w:pPr>
              <w:widowControl/>
              <w:adjustRightInd w:val="0"/>
              <w:snapToGrid w:val="0"/>
              <w:spacing w:line="5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lang w:val="en-US" w:eastAsia="zh-CN"/>
              </w:rPr>
              <w:t>6）、</w:t>
            </w:r>
            <w:r>
              <w:rPr>
                <w:rFonts w:hint="eastAsia" w:ascii="Times New Roman" w:hAnsi="Times New Roman" w:eastAsia="宋体" w:cs="Times New Roman"/>
                <w:szCs w:val="21"/>
                <w:lang w:eastAsia="zh-CN"/>
              </w:rPr>
              <w:t>生产搅拌</w:t>
            </w:r>
            <w:r>
              <w:rPr>
                <w:rFonts w:ascii="Times New Roman" w:hAnsi="Times New Roman" w:eastAsia="宋体" w:cs="Times New Roman"/>
                <w:szCs w:val="21"/>
              </w:rPr>
              <w:t>排气筒废气</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检测项目：颗粒物、</w:t>
            </w:r>
            <w:r>
              <w:rPr>
                <w:rFonts w:hint="eastAsia" w:ascii="Times New Roman" w:hAnsi="Times New Roman" w:eastAsia="宋体" w:cs="Times New Roman"/>
                <w:szCs w:val="21"/>
                <w:lang w:eastAsia="zh-CN"/>
              </w:rPr>
              <w:t>沥青烟</w:t>
            </w:r>
            <w:r>
              <w:rPr>
                <w:rFonts w:ascii="Times New Roman" w:hAnsi="Times New Roman" w:eastAsia="宋体" w:cs="Times New Roman"/>
                <w:szCs w:val="21"/>
              </w:rPr>
              <w:t>、</w:t>
            </w:r>
            <w:r>
              <w:rPr>
                <w:rFonts w:hint="eastAsia" w:ascii="Times New Roman" w:hAnsi="宋体" w:eastAsia="宋体" w:cs="宋体"/>
                <w:color w:val="auto"/>
                <w:kern w:val="2"/>
                <w:sz w:val="21"/>
                <w:szCs w:val="21"/>
                <w:lang w:val="en-US" w:eastAsia="zh-CN" w:bidi="ar"/>
              </w:rPr>
              <w:t>苯并（</w:t>
            </w:r>
            <w:r>
              <w:rPr>
                <w:rFonts w:hint="default" w:ascii="Times New Roman" w:hAnsi="宋体" w:eastAsia="宋体" w:cs="Times New Roman"/>
                <w:color w:val="auto"/>
                <w:kern w:val="2"/>
                <w:sz w:val="21"/>
                <w:szCs w:val="21"/>
                <w:lang w:val="en-US" w:eastAsia="zh-CN" w:bidi="ar"/>
              </w:rPr>
              <w:t>a</w:t>
            </w:r>
            <w:r>
              <w:rPr>
                <w:rFonts w:hint="eastAsia" w:ascii="Times New Roman" w:hAnsi="宋体" w:eastAsia="宋体" w:cs="宋体"/>
                <w:color w:val="auto"/>
                <w:kern w:val="2"/>
                <w:sz w:val="21"/>
                <w:szCs w:val="21"/>
                <w:lang w:val="en-US" w:eastAsia="zh-CN" w:bidi="ar"/>
              </w:rPr>
              <w:t>）芘</w:t>
            </w:r>
            <w:r>
              <w:rPr>
                <w:rFonts w:ascii="Times New Roman" w:hAnsi="Times New Roman" w:eastAsia="宋体" w:cs="Times New Roman"/>
                <w:szCs w:val="21"/>
              </w:rPr>
              <w:t>；</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检测点位：1个，</w:t>
            </w:r>
            <w:r>
              <w:rPr>
                <w:rFonts w:hint="eastAsia" w:ascii="Times New Roman" w:hAnsi="Times New Roman" w:eastAsia="宋体" w:cs="Times New Roman"/>
                <w:szCs w:val="21"/>
                <w:lang w:eastAsia="zh-CN"/>
              </w:rPr>
              <w:t>生产搅拌</w:t>
            </w:r>
            <w:r>
              <w:rPr>
                <w:rFonts w:ascii="Times New Roman" w:hAnsi="Times New Roman" w:eastAsia="宋体" w:cs="Times New Roman"/>
                <w:szCs w:val="21"/>
              </w:rPr>
              <w:t>排气筒；</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检测频次：每天3次，连续监测2天。</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2、废水</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监测项目：COD、氨氮、动植物油、SS、粪大肠菌群；</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监测点位：1个，污水排放口；</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监测频次：4次/天，连续监测2天。</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3、噪声</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监测项目：厂界环境噪声；</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监测点位：4个，分别在设备间外1m处厂界东、南、西、北各设1个监测点位；</w:t>
            </w:r>
          </w:p>
          <w:p>
            <w:pPr>
              <w:widowControl/>
              <w:adjustRightInd w:val="0"/>
              <w:snapToGrid w:val="0"/>
              <w:spacing w:line="5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监测频次：昼、夜各1次/天，连续监测2天。</w:t>
            </w: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r>
              <w:rPr>
                <w:rFonts w:eastAsia="仿宋_GB2312"/>
                <w:color w:val="FF0000"/>
                <w:szCs w:val="21"/>
              </w:rPr>
              <w:drawing>
                <wp:anchor distT="0" distB="0" distL="114300" distR="114300" simplePos="0" relativeHeight="251670528" behindDoc="1" locked="0" layoutInCell="1" allowOverlap="1">
                  <wp:simplePos x="0" y="0"/>
                  <wp:positionH relativeFrom="column">
                    <wp:posOffset>169545</wp:posOffset>
                  </wp:positionH>
                  <wp:positionV relativeFrom="paragraph">
                    <wp:posOffset>79375</wp:posOffset>
                  </wp:positionV>
                  <wp:extent cx="5523865" cy="4813935"/>
                  <wp:effectExtent l="0" t="0" r="635" b="5715"/>
                  <wp:wrapTight wrapText="bothSides">
                    <wp:wrapPolygon>
                      <wp:start x="0" y="0"/>
                      <wp:lineTo x="0" y="21540"/>
                      <wp:lineTo x="21528" y="21540"/>
                      <wp:lineTo x="21528" y="0"/>
                      <wp:lineTo x="0" y="0"/>
                    </wp:wrapPolygon>
                  </wp:wrapTight>
                  <wp:docPr id="13" name="图片 13" descr="1669857305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669857305767"/>
                          <pic:cNvPicPr>
                            <a:picLocks noChangeAspect="1"/>
                          </pic:cNvPicPr>
                        </pic:nvPicPr>
                        <pic:blipFill>
                          <a:blip r:embed="rId11" cstate="print"/>
                          <a:stretch>
                            <a:fillRect/>
                          </a:stretch>
                        </pic:blipFill>
                        <pic:spPr>
                          <a:xfrm>
                            <a:off x="0" y="0"/>
                            <a:ext cx="5523865" cy="4813935"/>
                          </a:xfrm>
                          <a:prstGeom prst="rect">
                            <a:avLst/>
                          </a:prstGeom>
                        </pic:spPr>
                      </pic:pic>
                    </a:graphicData>
                  </a:graphic>
                </wp:anchor>
              </w:drawing>
            </w:r>
          </w:p>
          <w:p>
            <w:pPr>
              <w:spacing w:beforeLines="20" w:line="360" w:lineRule="auto"/>
              <w:rPr>
                <w:rFonts w:ascii="Times New Roman" w:hAnsi="Times New Roman" w:eastAsia="仿宋_GB2312" w:cs="Times New Roman"/>
                <w:szCs w:val="21"/>
              </w:rPr>
            </w:pPr>
          </w:p>
          <w:p>
            <w:pPr>
              <w:spacing w:line="320" w:lineRule="exact"/>
              <w:jc w:val="center"/>
              <w:rPr>
                <w:rFonts w:ascii="Times New Roman" w:hAnsi="Times New Roman" w:eastAsia="黑体" w:cs="Times New Roman"/>
                <w:szCs w:val="21"/>
              </w:rPr>
            </w:pPr>
            <w:r>
              <w:rPr>
                <w:rFonts w:ascii="Times New Roman" w:hAnsi="Times New Roman" w:eastAsia="黑体" w:cs="Times New Roman"/>
                <w:szCs w:val="21"/>
              </w:rPr>
              <w:t>图6-1 监测点位示意图</w:t>
            </w:r>
          </w:p>
          <w:p>
            <w:pPr>
              <w:pStyle w:val="28"/>
              <w:ind w:firstLine="420"/>
              <w:rPr>
                <w:rFonts w:ascii="Times New Roman" w:hAnsi="Times New Roman" w:eastAsia="宋体" w:cs="Times New Roman"/>
                <w:spacing w:val="0"/>
                <w:kern w:val="2"/>
                <w:sz w:val="21"/>
                <w:szCs w:val="21"/>
              </w:rPr>
            </w:pPr>
            <w:r>
              <w:rPr>
                <w:rFonts w:ascii="Times New Roman" w:hAnsi="Times New Roman" w:eastAsia="宋体" w:cs="Times New Roman"/>
                <w:spacing w:val="0"/>
                <w:kern w:val="2"/>
                <w:sz w:val="21"/>
                <w:szCs w:val="21"/>
              </w:rPr>
              <w:t>注：</w:t>
            </w:r>
            <w:r>
              <w:rPr>
                <w:rFonts w:ascii="宋体" w:hAnsi="Times New Roman" w:eastAsia="宋体" w:cs="Times New Roman"/>
                <w:spacing w:val="0"/>
                <w:kern w:val="2"/>
                <w:sz w:val="21"/>
                <w:szCs w:val="21"/>
              </w:rPr>
              <w:t>◎</w:t>
            </w:r>
            <w:r>
              <w:rPr>
                <w:rFonts w:ascii="Times New Roman" w:hAnsi="Times New Roman" w:eastAsia="宋体" w:cs="Times New Roman"/>
                <w:spacing w:val="0"/>
                <w:kern w:val="2"/>
                <w:sz w:val="21"/>
                <w:szCs w:val="21"/>
              </w:rPr>
              <w:t xml:space="preserve">有组织废气监测点位 ○无组织废气监测点位 ▲噪声监测点位 </w:t>
            </w:r>
            <w:r>
              <w:rPr>
                <w:rFonts w:ascii="宋体" w:hAnsi="Times New Roman" w:eastAsia="宋体" w:cs="Times New Roman"/>
                <w:spacing w:val="0"/>
                <w:kern w:val="2"/>
                <w:sz w:val="21"/>
                <w:szCs w:val="21"/>
              </w:rPr>
              <w:t>★</w:t>
            </w:r>
            <w:r>
              <w:rPr>
                <w:rFonts w:ascii="Times New Roman" w:hAnsi="Times New Roman" w:eastAsia="宋体" w:cs="Times New Roman"/>
                <w:spacing w:val="0"/>
                <w:kern w:val="2"/>
                <w:sz w:val="21"/>
                <w:szCs w:val="21"/>
              </w:rPr>
              <w:t>废水监测点</w:t>
            </w:r>
          </w:p>
          <w:p>
            <w:pPr>
              <w:spacing w:line="320" w:lineRule="exact"/>
              <w:rPr>
                <w:rFonts w:ascii="Times New Roman" w:hAnsi="Times New Roman" w:eastAsia="宋体" w:cs="Times New Roman"/>
                <w:color w:val="FF0000"/>
                <w:szCs w:val="21"/>
              </w:rPr>
            </w:pPr>
          </w:p>
          <w:p>
            <w:pPr>
              <w:spacing w:beforeLines="20" w:line="360" w:lineRule="auto"/>
              <w:rPr>
                <w:rFonts w:ascii="Times New Roman" w:hAnsi="Times New Roman" w:eastAsia="仿宋_GB2312" w:cs="Times New Roman"/>
                <w:color w:val="FF0000"/>
                <w:szCs w:val="21"/>
              </w:rPr>
            </w:pPr>
          </w:p>
          <w:p>
            <w:pPr>
              <w:pStyle w:val="2"/>
              <w:ind w:firstLine="0"/>
            </w:pPr>
          </w:p>
          <w:p>
            <w:pPr>
              <w:pStyle w:val="2"/>
            </w:pPr>
          </w:p>
          <w:p>
            <w:pPr>
              <w:pStyle w:val="2"/>
            </w:pPr>
          </w:p>
          <w:p>
            <w:pPr>
              <w:pStyle w:val="2"/>
            </w:pPr>
          </w:p>
          <w:p>
            <w:pPr>
              <w:pStyle w:val="2"/>
            </w:pPr>
          </w:p>
          <w:p>
            <w:pPr>
              <w:pStyle w:val="2"/>
              <w:ind w:firstLine="0"/>
            </w:pPr>
          </w:p>
          <w:p>
            <w:pPr>
              <w:pStyle w:val="2"/>
            </w:pPr>
          </w:p>
          <w:p>
            <w:pPr>
              <w:pStyle w:val="2"/>
              <w:ind w:firstLine="0"/>
            </w:pPr>
          </w:p>
        </w:tc>
      </w:tr>
    </w:tbl>
    <w:p>
      <w:pPr>
        <w:outlineLvl w:val="0"/>
        <w:rPr>
          <w:rFonts w:ascii="Times New Roman" w:hAnsi="Times New Roman" w:eastAsia="黑体" w:cs="Times New Roman"/>
          <w:bCs/>
          <w:color w:val="FF0000"/>
          <w:sz w:val="24"/>
        </w:rPr>
      </w:pPr>
    </w:p>
    <w:p>
      <w:pPr>
        <w:spacing w:line="500" w:lineRule="exact"/>
        <w:outlineLvl w:val="0"/>
        <w:rPr>
          <w:rFonts w:ascii="Times New Roman" w:hAnsi="Times New Roman" w:eastAsia="黑体" w:cs="Times New Roman"/>
          <w:bCs/>
          <w:sz w:val="24"/>
        </w:rPr>
      </w:pPr>
      <w:bookmarkStart w:id="11" w:name="_Toc9435"/>
      <w:r>
        <w:rPr>
          <w:rFonts w:ascii="Times New Roman" w:hAnsi="Times New Roman" w:eastAsia="黑体" w:cs="Times New Roman"/>
          <w:bCs/>
          <w:sz w:val="24"/>
        </w:rPr>
        <w:t>表七</w:t>
      </w:r>
      <w:bookmarkEnd w:id="11"/>
    </w:p>
    <w:tbl>
      <w:tblPr>
        <w:tblStyle w:val="1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5000" w:type="pct"/>
          </w:tcPr>
          <w:p>
            <w:pPr>
              <w:spacing w:line="500" w:lineRule="exact"/>
              <w:rPr>
                <w:rFonts w:ascii="Times New Roman" w:hAnsi="Times New Roman" w:eastAsia="宋体" w:cs="Times New Roman"/>
                <w:szCs w:val="21"/>
              </w:rPr>
            </w:pPr>
            <w:r>
              <w:rPr>
                <w:rFonts w:ascii="Times New Roman" w:hAnsi="Times New Roman" w:eastAsia="宋体" w:cs="Times New Roman"/>
                <w:szCs w:val="21"/>
              </w:rPr>
              <w:t>验收监测期间生产工况记录：</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建设项目竣工环境保护验收监测期间，企业采用试运行，企业正常运行，生产能力达到设计能力的75%以上。各种设备运转良好设备监测运行的当天，负荷达到设计生产能力的85%，满足建设工况，符合建设项目竣工验收监测条件的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5000" w:type="pct"/>
          </w:tcPr>
          <w:p>
            <w:pPr>
              <w:spacing w:beforeLines="20" w:line="500" w:lineRule="exact"/>
              <w:rPr>
                <w:rFonts w:ascii="Times New Roman" w:hAnsi="Times New Roman" w:eastAsia="宋体" w:cs="Times New Roman"/>
                <w:szCs w:val="21"/>
              </w:rPr>
            </w:pPr>
            <w:r>
              <w:rPr>
                <w:rFonts w:ascii="Times New Roman" w:hAnsi="Times New Roman" w:eastAsia="宋体" w:cs="Times New Roman"/>
                <w:szCs w:val="21"/>
              </w:rPr>
              <w:t>验收监测结果：</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一、监测过程介绍</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在监测准备过程中，按照监测内容，收集现场资料，监测人员进行监测前培训并准备监测仪器和材料；在现场监测过程中，监测人员到达监测现场安顿，现场监测前评估后开始监测采样，收集资料数据，采集样品；在检测结束过程中，恢复监测现场，保存样品资料，返回前进行最后检查和监测总结等现场监测的基本过程。</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二、监测结果</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1、废气监测结果</w:t>
            </w:r>
          </w:p>
          <w:p>
            <w:pPr>
              <w:spacing w:line="500" w:lineRule="exact"/>
              <w:ind w:firstLine="420" w:firstLineChars="200"/>
              <w:rPr>
                <w:rFonts w:ascii="Times New Roman" w:hAnsi="Times New Roman" w:eastAsia="黑体" w:cs="Times New Roman"/>
                <w:szCs w:val="21"/>
              </w:rPr>
            </w:pPr>
            <w:r>
              <w:rPr>
                <w:rFonts w:ascii="Times New Roman" w:hAnsi="Times New Roman" w:eastAsia="黑体" w:cs="Times New Roman"/>
              </w:rPr>
              <w:t>表7-1              本项目</w:t>
            </w:r>
            <w:r>
              <w:rPr>
                <w:rFonts w:ascii="Times New Roman" w:hAnsi="Times New Roman" w:eastAsia="黑体" w:cs="Times New Roman"/>
                <w:bCs/>
                <w:szCs w:val="21"/>
              </w:rPr>
              <w:t>有组织排气筒</w:t>
            </w:r>
            <w:r>
              <w:rPr>
                <w:rFonts w:ascii="Times New Roman" w:hAnsi="Times New Roman" w:eastAsia="黑体" w:cs="Times New Roman"/>
              </w:rPr>
              <w:t>废气监测结果              单位：mg/m</w:t>
            </w:r>
            <w:r>
              <w:rPr>
                <w:rFonts w:ascii="Times New Roman" w:hAnsi="Times New Roman" w:eastAsia="黑体" w:cs="Times New Roman"/>
                <w:vertAlign w:val="superscript"/>
              </w:rPr>
              <w:t>3</w:t>
            </w:r>
          </w:p>
          <w:tbl>
            <w:tblPr>
              <w:tblStyle w:val="18"/>
              <w:tblW w:w="5000" w:type="pct"/>
              <w:tblInd w:w="0" w:type="dxa"/>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0" w:type="dxa"/>
                <w:bottom w:w="0" w:type="dxa"/>
                <w:right w:w="0" w:type="dxa"/>
              </w:tblCellMar>
            </w:tblPr>
            <w:tblGrid>
              <w:gridCol w:w="961"/>
              <w:gridCol w:w="1508"/>
              <w:gridCol w:w="18"/>
              <w:gridCol w:w="283"/>
              <w:gridCol w:w="1022"/>
              <w:gridCol w:w="16"/>
              <w:gridCol w:w="432"/>
              <w:gridCol w:w="249"/>
              <w:gridCol w:w="16"/>
              <w:gridCol w:w="517"/>
              <w:gridCol w:w="169"/>
              <w:gridCol w:w="16"/>
              <w:gridCol w:w="610"/>
              <w:gridCol w:w="129"/>
              <w:gridCol w:w="16"/>
              <w:gridCol w:w="668"/>
              <w:gridCol w:w="33"/>
              <w:gridCol w:w="655"/>
              <w:gridCol w:w="31"/>
              <w:gridCol w:w="78"/>
              <w:gridCol w:w="553"/>
              <w:gridCol w:w="31"/>
              <w:gridCol w:w="181"/>
              <w:gridCol w:w="809"/>
              <w:gridCol w:w="71"/>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5" w:hRule="atLeast"/>
              </w:trPr>
              <w:tc>
                <w:tcPr>
                  <w:tcW w:w="530" w:type="pct"/>
                  <w:vMerge w:val="restart"/>
                  <w:tcBorders>
                    <w:tl2br w:val="nil"/>
                    <w:tr2bl w:val="nil"/>
                  </w:tcBorders>
                  <w:vAlign w:val="center"/>
                </w:tcPr>
                <w:p>
                  <w:pPr>
                    <w:spacing w:line="320" w:lineRule="exact"/>
                    <w:jc w:val="center"/>
                    <w:rPr>
                      <w:rFonts w:ascii="Times New Roman" w:hAnsi="Times New Roman" w:eastAsia="黑体" w:cs="Times New Roman"/>
                      <w:bCs/>
                      <w:szCs w:val="21"/>
                    </w:rPr>
                  </w:pPr>
                  <w:r>
                    <w:rPr>
                      <w:rFonts w:ascii="Times New Roman" w:hAnsi="Times New Roman" w:eastAsia="黑体" w:cs="Times New Roman"/>
                      <w:bCs/>
                      <w:szCs w:val="21"/>
                    </w:rPr>
                    <w:t>检测项目</w:t>
                  </w:r>
                </w:p>
              </w:tc>
              <w:tc>
                <w:tcPr>
                  <w:tcW w:w="4469" w:type="pct"/>
                  <w:gridSpan w:val="24"/>
                  <w:tcBorders>
                    <w:tl2br w:val="nil"/>
                    <w:tr2bl w:val="nil"/>
                  </w:tcBorders>
                  <w:vAlign w:val="center"/>
                </w:tcPr>
                <w:p>
                  <w:pPr>
                    <w:spacing w:line="320" w:lineRule="exact"/>
                    <w:jc w:val="center"/>
                    <w:rPr>
                      <w:rFonts w:ascii="Times New Roman" w:hAnsi="Times New Roman" w:eastAsia="黑体" w:cs="Times New Roman"/>
                      <w:bCs/>
                      <w:szCs w:val="21"/>
                    </w:rPr>
                  </w:pPr>
                  <w:r>
                    <w:rPr>
                      <w:rFonts w:ascii="Times New Roman" w:hAnsi="Times New Roman" w:eastAsia="黑体" w:cs="Times New Roman"/>
                      <w:bCs/>
                      <w:szCs w:val="21"/>
                    </w:rPr>
                    <w:t>导热油炉排气筒检测结果</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1" w:hRule="atLeast"/>
              </w:trPr>
              <w:tc>
                <w:tcPr>
                  <w:tcW w:w="530" w:type="pct"/>
                  <w:vMerge w:val="continue"/>
                  <w:tcBorders>
                    <w:tl2br w:val="nil"/>
                    <w:tr2bl w:val="nil"/>
                  </w:tcBorders>
                  <w:vAlign w:val="center"/>
                </w:tcPr>
                <w:p>
                  <w:pPr>
                    <w:spacing w:line="320" w:lineRule="exact"/>
                    <w:jc w:val="center"/>
                    <w:rPr>
                      <w:rFonts w:ascii="Times New Roman" w:hAnsi="Times New Roman" w:cs="Times New Roman"/>
                      <w:bCs/>
                      <w:szCs w:val="21"/>
                    </w:rPr>
                  </w:pPr>
                </w:p>
              </w:tc>
              <w:tc>
                <w:tcPr>
                  <w:tcW w:w="841"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检测时间</w:t>
                  </w:r>
                </w:p>
              </w:tc>
              <w:tc>
                <w:tcPr>
                  <w:tcW w:w="3628" w:type="pct"/>
                  <w:gridSpan w:val="2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2023.05.18</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1" w:hRule="atLeast"/>
              </w:trPr>
              <w:tc>
                <w:tcPr>
                  <w:tcW w:w="530" w:type="pct"/>
                  <w:vMerge w:val="continue"/>
                  <w:tcBorders>
                    <w:tl2br w:val="nil"/>
                    <w:tr2bl w:val="nil"/>
                  </w:tcBorders>
                  <w:vAlign w:val="center"/>
                </w:tcPr>
                <w:p>
                  <w:pPr>
                    <w:spacing w:line="320" w:lineRule="exact"/>
                    <w:jc w:val="center"/>
                    <w:rPr>
                      <w:rFonts w:ascii="Times New Roman" w:hAnsi="Times New Roman" w:cs="Times New Roman"/>
                      <w:bCs/>
                      <w:szCs w:val="21"/>
                    </w:rPr>
                  </w:pPr>
                </w:p>
              </w:tc>
              <w:tc>
                <w:tcPr>
                  <w:tcW w:w="841" w:type="pct"/>
                  <w:gridSpan w:val="2"/>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样品编号</w:t>
                  </w:r>
                </w:p>
              </w:tc>
              <w:tc>
                <w:tcPr>
                  <w:tcW w:w="728" w:type="pct"/>
                  <w:gridSpan w:val="3"/>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标杆流量（Nm³/h）</w:t>
                  </w:r>
                </w:p>
              </w:tc>
              <w:tc>
                <w:tcPr>
                  <w:tcW w:w="771" w:type="pct"/>
                  <w:gridSpan w:val="6"/>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颗粒物(mg/m³)</w:t>
                  </w:r>
                </w:p>
              </w:tc>
              <w:tc>
                <w:tcPr>
                  <w:tcW w:w="801" w:type="pct"/>
                  <w:gridSpan w:val="5"/>
                  <w:tcBorders>
                    <w:tl2br w:val="nil"/>
                    <w:tr2bl w:val="nil"/>
                  </w:tcBorders>
                  <w:vAlign w:val="center"/>
                </w:tcPr>
                <w:p>
                  <w:pPr>
                    <w:spacing w:line="320" w:lineRule="exact"/>
                    <w:jc w:val="center"/>
                    <w:rPr>
                      <w:rFonts w:ascii="Times New Roman" w:hAnsi="Times New Roman" w:cs="Times New Roman"/>
                      <w:szCs w:val="21"/>
                      <w:vertAlign w:val="subscript"/>
                    </w:rPr>
                  </w:pPr>
                  <w:r>
                    <w:rPr>
                      <w:rFonts w:ascii="Times New Roman" w:hAnsi="Times New Roman" w:cs="Times New Roman"/>
                      <w:szCs w:val="21"/>
                    </w:rPr>
                    <w:t>SO</w:t>
                  </w:r>
                  <w:r>
                    <w:rPr>
                      <w:rFonts w:ascii="Times New Roman" w:hAnsi="Times New Roman" w:cs="Times New Roman"/>
                      <w:szCs w:val="21"/>
                      <w:vertAlign w:val="subscript"/>
                    </w:rPr>
                    <w:t>2</w:t>
                  </w:r>
                </w:p>
                <w:p>
                  <w:pPr>
                    <w:spacing w:line="320" w:lineRule="exact"/>
                    <w:jc w:val="center"/>
                    <w:rPr>
                      <w:rFonts w:ascii="Times New Roman" w:hAnsi="Times New Roman" w:cs="Times New Roman"/>
                      <w:szCs w:val="21"/>
                    </w:rPr>
                  </w:pPr>
                  <w:r>
                    <w:rPr>
                      <w:rFonts w:ascii="Times New Roman" w:hAnsi="Times New Roman" w:eastAsia="宋体" w:cs="Times New Roman"/>
                      <w:szCs w:val="21"/>
                    </w:rPr>
                    <w:t>(mg/m³)</w:t>
                  </w:r>
                </w:p>
              </w:tc>
              <w:tc>
                <w:tcPr>
                  <w:tcW w:w="742" w:type="pct"/>
                  <w:gridSpan w:val="5"/>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 xml:space="preserve"> </w:t>
                  </w:r>
                  <w:r>
                    <w:rPr>
                      <w:rFonts w:ascii="Times New Roman" w:hAnsi="Times New Roman" w:cs="Times New Roman"/>
                      <w:szCs w:val="21"/>
                    </w:rPr>
                    <w:t>NOx</w:t>
                  </w:r>
                </w:p>
                <w:p>
                  <w:pPr>
                    <w:spacing w:line="320" w:lineRule="exact"/>
                    <w:jc w:val="center"/>
                    <w:rPr>
                      <w:rFonts w:ascii="Times New Roman" w:hAnsi="Times New Roman" w:cs="Times New Roman"/>
                      <w:szCs w:val="21"/>
                    </w:rPr>
                  </w:pPr>
                  <w:r>
                    <w:rPr>
                      <w:rFonts w:ascii="Times New Roman" w:hAnsi="Times New Roman" w:eastAsia="宋体" w:cs="Times New Roman"/>
                      <w:szCs w:val="21"/>
                    </w:rPr>
                    <w:t>(mg/m³)</w:t>
                  </w:r>
                </w:p>
              </w:tc>
              <w:tc>
                <w:tcPr>
                  <w:tcW w:w="584" w:type="pct"/>
                  <w:gridSpan w:val="3"/>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烟气黑度</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1" w:hRule="atLeast"/>
              </w:trPr>
              <w:tc>
                <w:tcPr>
                  <w:tcW w:w="530" w:type="pct"/>
                  <w:vMerge w:val="continue"/>
                  <w:tcBorders>
                    <w:tl2br w:val="nil"/>
                    <w:tr2bl w:val="nil"/>
                  </w:tcBorders>
                  <w:vAlign w:val="center"/>
                </w:tcPr>
                <w:p>
                  <w:pPr>
                    <w:spacing w:line="320" w:lineRule="exact"/>
                    <w:jc w:val="center"/>
                    <w:rPr>
                      <w:rFonts w:ascii="Times New Roman" w:hAnsi="Times New Roman" w:cs="Times New Roman"/>
                      <w:bCs/>
                      <w:szCs w:val="21"/>
                    </w:rPr>
                  </w:pPr>
                </w:p>
              </w:tc>
              <w:tc>
                <w:tcPr>
                  <w:tcW w:w="841" w:type="pct"/>
                  <w:gridSpan w:val="2"/>
                  <w:vMerge w:val="continue"/>
                  <w:tcBorders>
                    <w:tl2br w:val="nil"/>
                    <w:tr2bl w:val="nil"/>
                  </w:tcBorders>
                  <w:vAlign w:val="center"/>
                </w:tcPr>
                <w:p>
                  <w:pPr>
                    <w:spacing w:line="320" w:lineRule="exact"/>
                    <w:jc w:val="center"/>
                    <w:rPr>
                      <w:rFonts w:ascii="Times New Roman" w:hAnsi="Times New Roman" w:cs="Times New Roman"/>
                      <w:szCs w:val="21"/>
                    </w:rPr>
                  </w:pPr>
                </w:p>
              </w:tc>
              <w:tc>
                <w:tcPr>
                  <w:tcW w:w="728" w:type="pct"/>
                  <w:gridSpan w:val="3"/>
                  <w:vMerge w:val="continue"/>
                  <w:tcBorders>
                    <w:tl2br w:val="nil"/>
                    <w:tr2bl w:val="nil"/>
                  </w:tcBorders>
                  <w:vAlign w:val="center"/>
                </w:tcPr>
                <w:p>
                  <w:pPr>
                    <w:spacing w:line="320" w:lineRule="exact"/>
                    <w:jc w:val="center"/>
                    <w:rPr>
                      <w:rFonts w:ascii="Times New Roman" w:hAnsi="Times New Roman" w:cs="Times New Roman"/>
                      <w:szCs w:val="21"/>
                    </w:rPr>
                  </w:pPr>
                </w:p>
              </w:tc>
              <w:tc>
                <w:tcPr>
                  <w:tcW w:w="3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38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c>
                <w:tcPr>
                  <w:tcW w:w="41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385"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c>
                <w:tcPr>
                  <w:tcW w:w="378"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36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c>
                <w:tcPr>
                  <w:tcW w:w="584" w:type="pct"/>
                  <w:gridSpan w:val="3"/>
                  <w:vMerge w:val="continue"/>
                  <w:tcBorders>
                    <w:tl2br w:val="nil"/>
                    <w:tr2bl w:val="nil"/>
                  </w:tcBorders>
                  <w:vAlign w:val="center"/>
                </w:tcPr>
                <w:p>
                  <w:pPr>
                    <w:spacing w:line="320" w:lineRule="exact"/>
                    <w:jc w:val="center"/>
                    <w:rPr>
                      <w:rFonts w:ascii="Times New Roman" w:hAnsi="Times New Roman" w:cs="Times New Roman"/>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exact"/>
              </w:trPr>
              <w:tc>
                <w:tcPr>
                  <w:tcW w:w="530" w:type="pct"/>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有组织废气</w:t>
                  </w:r>
                </w:p>
              </w:tc>
              <w:tc>
                <w:tcPr>
                  <w:tcW w:w="841"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F230518A01</w:t>
                  </w:r>
                </w:p>
              </w:tc>
              <w:tc>
                <w:tcPr>
                  <w:tcW w:w="728"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1737</w:t>
                  </w:r>
                </w:p>
              </w:tc>
              <w:tc>
                <w:tcPr>
                  <w:tcW w:w="3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3.5</w:t>
                  </w:r>
                </w:p>
              </w:tc>
              <w:tc>
                <w:tcPr>
                  <w:tcW w:w="38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3.7</w:t>
                  </w:r>
                </w:p>
              </w:tc>
              <w:tc>
                <w:tcPr>
                  <w:tcW w:w="41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12</w:t>
                  </w:r>
                </w:p>
              </w:tc>
              <w:tc>
                <w:tcPr>
                  <w:tcW w:w="385"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r>
                    <w:rPr>
                      <w:rFonts w:ascii="Times New Roman" w:hAnsi="Times New Roman" w:cs="Times New Roman"/>
                      <w:szCs w:val="21"/>
                    </w:rPr>
                    <w:t>3</w:t>
                  </w:r>
                </w:p>
              </w:tc>
              <w:tc>
                <w:tcPr>
                  <w:tcW w:w="378"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r>
                    <w:rPr>
                      <w:rFonts w:ascii="Times New Roman" w:hAnsi="Times New Roman" w:cs="Times New Roman"/>
                      <w:szCs w:val="21"/>
                    </w:rPr>
                    <w:t>24</w:t>
                  </w:r>
                </w:p>
              </w:tc>
              <w:tc>
                <w:tcPr>
                  <w:tcW w:w="36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r>
                    <w:rPr>
                      <w:rFonts w:ascii="Times New Roman" w:hAnsi="Times New Roman" w:cs="Times New Roman"/>
                      <w:szCs w:val="21"/>
                    </w:rPr>
                    <w:t>31</w:t>
                  </w:r>
                </w:p>
              </w:tc>
              <w:tc>
                <w:tcPr>
                  <w:tcW w:w="5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exact"/>
              </w:trPr>
              <w:tc>
                <w:tcPr>
                  <w:tcW w:w="530"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841"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F230518A02</w:t>
                  </w:r>
                </w:p>
              </w:tc>
              <w:tc>
                <w:tcPr>
                  <w:tcW w:w="728"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1743</w:t>
                  </w:r>
                </w:p>
              </w:tc>
              <w:tc>
                <w:tcPr>
                  <w:tcW w:w="3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3.6</w:t>
                  </w:r>
                </w:p>
              </w:tc>
              <w:tc>
                <w:tcPr>
                  <w:tcW w:w="38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3.8</w:t>
                  </w:r>
                </w:p>
              </w:tc>
              <w:tc>
                <w:tcPr>
                  <w:tcW w:w="41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11</w:t>
                  </w:r>
                </w:p>
              </w:tc>
              <w:tc>
                <w:tcPr>
                  <w:tcW w:w="385"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12</w:t>
                  </w:r>
                </w:p>
              </w:tc>
              <w:tc>
                <w:tcPr>
                  <w:tcW w:w="378"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r>
                    <w:rPr>
                      <w:rFonts w:ascii="Times New Roman" w:hAnsi="Times New Roman" w:cs="Times New Roman"/>
                      <w:szCs w:val="21"/>
                    </w:rPr>
                    <w:t>29</w:t>
                  </w:r>
                </w:p>
              </w:tc>
              <w:tc>
                <w:tcPr>
                  <w:tcW w:w="36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r>
                    <w:rPr>
                      <w:rFonts w:ascii="Times New Roman" w:hAnsi="Times New Roman" w:cs="Times New Roman"/>
                      <w:szCs w:val="21"/>
                    </w:rPr>
                    <w:t>36</w:t>
                  </w:r>
                </w:p>
              </w:tc>
              <w:tc>
                <w:tcPr>
                  <w:tcW w:w="5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exact"/>
              </w:trPr>
              <w:tc>
                <w:tcPr>
                  <w:tcW w:w="530"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841"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F230518A03</w:t>
                  </w:r>
                </w:p>
              </w:tc>
              <w:tc>
                <w:tcPr>
                  <w:tcW w:w="728"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1796</w:t>
                  </w:r>
                </w:p>
              </w:tc>
              <w:tc>
                <w:tcPr>
                  <w:tcW w:w="3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3.4</w:t>
                  </w:r>
                </w:p>
              </w:tc>
              <w:tc>
                <w:tcPr>
                  <w:tcW w:w="38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w:t>
                  </w:r>
                  <w:r>
                    <w:rPr>
                      <w:rFonts w:ascii="Times New Roman" w:hAnsi="Times New Roman" w:eastAsia="宋体" w:cs="Times New Roman"/>
                      <w:szCs w:val="21"/>
                    </w:rPr>
                    <w:t>.6</w:t>
                  </w:r>
                </w:p>
              </w:tc>
              <w:tc>
                <w:tcPr>
                  <w:tcW w:w="41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r>
                    <w:rPr>
                      <w:rFonts w:ascii="Times New Roman" w:hAnsi="Times New Roman" w:cs="Times New Roman"/>
                      <w:szCs w:val="21"/>
                    </w:rPr>
                    <w:t>3</w:t>
                  </w:r>
                </w:p>
              </w:tc>
              <w:tc>
                <w:tcPr>
                  <w:tcW w:w="385"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r>
                    <w:rPr>
                      <w:rFonts w:ascii="Times New Roman" w:hAnsi="Times New Roman" w:cs="Times New Roman"/>
                      <w:szCs w:val="21"/>
                    </w:rPr>
                    <w:t>4</w:t>
                  </w:r>
                </w:p>
              </w:tc>
              <w:tc>
                <w:tcPr>
                  <w:tcW w:w="378"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r>
                    <w:rPr>
                      <w:rFonts w:ascii="Times New Roman" w:hAnsi="Times New Roman" w:cs="Times New Roman"/>
                      <w:szCs w:val="21"/>
                    </w:rPr>
                    <w:t>25</w:t>
                  </w:r>
                </w:p>
              </w:tc>
              <w:tc>
                <w:tcPr>
                  <w:tcW w:w="36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r>
                    <w:rPr>
                      <w:rFonts w:ascii="Times New Roman" w:hAnsi="Times New Roman" w:cs="Times New Roman"/>
                      <w:szCs w:val="21"/>
                    </w:rPr>
                    <w:t>32</w:t>
                  </w:r>
                </w:p>
              </w:tc>
              <w:tc>
                <w:tcPr>
                  <w:tcW w:w="5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exact"/>
              </w:trPr>
              <w:tc>
                <w:tcPr>
                  <w:tcW w:w="530"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841"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检测时间</w:t>
                  </w:r>
                </w:p>
              </w:tc>
              <w:tc>
                <w:tcPr>
                  <w:tcW w:w="3628" w:type="pct"/>
                  <w:gridSpan w:val="2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2023.05.19</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exact"/>
              </w:trPr>
              <w:tc>
                <w:tcPr>
                  <w:tcW w:w="530"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841" w:type="pct"/>
                  <w:gridSpan w:val="2"/>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样品编号</w:t>
                  </w:r>
                </w:p>
              </w:tc>
              <w:tc>
                <w:tcPr>
                  <w:tcW w:w="728" w:type="pct"/>
                  <w:gridSpan w:val="3"/>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标杆流量（Nm³/h）</w:t>
                  </w:r>
                </w:p>
              </w:tc>
              <w:tc>
                <w:tcPr>
                  <w:tcW w:w="771" w:type="pct"/>
                  <w:gridSpan w:val="6"/>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颗粒物(mg/m³)</w:t>
                  </w:r>
                </w:p>
              </w:tc>
              <w:tc>
                <w:tcPr>
                  <w:tcW w:w="801" w:type="pct"/>
                  <w:gridSpan w:val="5"/>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SO</w:t>
                  </w:r>
                  <w:r>
                    <w:rPr>
                      <w:rFonts w:ascii="Times New Roman" w:hAnsi="Times New Roman" w:cs="Times New Roman"/>
                      <w:szCs w:val="21"/>
                      <w:vertAlign w:val="subscript"/>
                    </w:rPr>
                    <w:t>2</w:t>
                  </w:r>
                  <w:r>
                    <w:rPr>
                      <w:rFonts w:ascii="Times New Roman" w:hAnsi="Times New Roman" w:eastAsia="宋体" w:cs="Times New Roman"/>
                      <w:szCs w:val="21"/>
                    </w:rPr>
                    <w:t xml:space="preserve"> (mg/m³)</w:t>
                  </w:r>
                </w:p>
              </w:tc>
              <w:tc>
                <w:tcPr>
                  <w:tcW w:w="742" w:type="pct"/>
                  <w:gridSpan w:val="5"/>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 xml:space="preserve"> </w:t>
                  </w:r>
                  <w:r>
                    <w:rPr>
                      <w:rFonts w:ascii="Times New Roman" w:hAnsi="Times New Roman" w:cs="Times New Roman"/>
                      <w:szCs w:val="21"/>
                    </w:rPr>
                    <w:t>NOx</w:t>
                  </w:r>
                  <w:r>
                    <w:rPr>
                      <w:rFonts w:ascii="Times New Roman" w:hAnsi="Times New Roman" w:eastAsia="宋体" w:cs="Times New Roman"/>
                      <w:szCs w:val="21"/>
                    </w:rPr>
                    <w:t>(mg/m³)</w:t>
                  </w:r>
                </w:p>
              </w:tc>
              <w:tc>
                <w:tcPr>
                  <w:tcW w:w="584" w:type="pct"/>
                  <w:gridSpan w:val="3"/>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烟气黑度</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exact"/>
              </w:trPr>
              <w:tc>
                <w:tcPr>
                  <w:tcW w:w="530"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841" w:type="pct"/>
                  <w:gridSpan w:val="2"/>
                  <w:vMerge w:val="continue"/>
                  <w:tcBorders>
                    <w:tl2br w:val="nil"/>
                    <w:tr2bl w:val="nil"/>
                  </w:tcBorders>
                  <w:vAlign w:val="center"/>
                </w:tcPr>
                <w:p>
                  <w:pPr>
                    <w:spacing w:line="320" w:lineRule="exact"/>
                    <w:jc w:val="center"/>
                    <w:rPr>
                      <w:rFonts w:ascii="Times New Roman" w:hAnsi="Times New Roman" w:cs="Times New Roman"/>
                      <w:szCs w:val="21"/>
                    </w:rPr>
                  </w:pPr>
                </w:p>
              </w:tc>
              <w:tc>
                <w:tcPr>
                  <w:tcW w:w="728" w:type="pct"/>
                  <w:gridSpan w:val="3"/>
                  <w:vMerge w:val="continue"/>
                  <w:tcBorders>
                    <w:tl2br w:val="nil"/>
                    <w:tr2bl w:val="nil"/>
                  </w:tcBorders>
                  <w:vAlign w:val="center"/>
                </w:tcPr>
                <w:p>
                  <w:pPr>
                    <w:spacing w:line="320" w:lineRule="exact"/>
                    <w:jc w:val="center"/>
                    <w:rPr>
                      <w:rFonts w:ascii="Times New Roman" w:hAnsi="Times New Roman" w:cs="Times New Roman"/>
                      <w:szCs w:val="21"/>
                    </w:rPr>
                  </w:pPr>
                </w:p>
              </w:tc>
              <w:tc>
                <w:tcPr>
                  <w:tcW w:w="3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38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c>
                <w:tcPr>
                  <w:tcW w:w="41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385"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c>
                <w:tcPr>
                  <w:tcW w:w="378"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36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c>
                <w:tcPr>
                  <w:tcW w:w="584" w:type="pct"/>
                  <w:gridSpan w:val="3"/>
                  <w:vMerge w:val="continue"/>
                  <w:tcBorders>
                    <w:tl2br w:val="nil"/>
                    <w:tr2bl w:val="nil"/>
                  </w:tcBorders>
                  <w:vAlign w:val="center"/>
                </w:tcPr>
                <w:p>
                  <w:pPr>
                    <w:spacing w:line="320" w:lineRule="exact"/>
                    <w:jc w:val="center"/>
                    <w:rPr>
                      <w:rFonts w:ascii="Times New Roman" w:hAnsi="Times New Roman" w:cs="Times New Roman"/>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exact"/>
              </w:trPr>
              <w:tc>
                <w:tcPr>
                  <w:tcW w:w="530"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841"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F230519A01</w:t>
                  </w:r>
                </w:p>
              </w:tc>
              <w:tc>
                <w:tcPr>
                  <w:tcW w:w="728"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1854</w:t>
                  </w:r>
                </w:p>
              </w:tc>
              <w:tc>
                <w:tcPr>
                  <w:tcW w:w="3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2.9</w:t>
                  </w:r>
                </w:p>
              </w:tc>
              <w:tc>
                <w:tcPr>
                  <w:tcW w:w="38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3.0</w:t>
                  </w:r>
                </w:p>
              </w:tc>
              <w:tc>
                <w:tcPr>
                  <w:tcW w:w="41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14</w:t>
                  </w:r>
                </w:p>
              </w:tc>
              <w:tc>
                <w:tcPr>
                  <w:tcW w:w="385"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15</w:t>
                  </w:r>
                </w:p>
              </w:tc>
              <w:tc>
                <w:tcPr>
                  <w:tcW w:w="378"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118</w:t>
                  </w:r>
                </w:p>
              </w:tc>
              <w:tc>
                <w:tcPr>
                  <w:tcW w:w="36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124</w:t>
                  </w:r>
                </w:p>
              </w:tc>
              <w:tc>
                <w:tcPr>
                  <w:tcW w:w="5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exact"/>
              </w:trPr>
              <w:tc>
                <w:tcPr>
                  <w:tcW w:w="530"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841"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F230519A02</w:t>
                  </w:r>
                </w:p>
              </w:tc>
              <w:tc>
                <w:tcPr>
                  <w:tcW w:w="728"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1802</w:t>
                  </w:r>
                </w:p>
              </w:tc>
              <w:tc>
                <w:tcPr>
                  <w:tcW w:w="3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3.4</w:t>
                  </w:r>
                </w:p>
              </w:tc>
              <w:tc>
                <w:tcPr>
                  <w:tcW w:w="38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3.6</w:t>
                  </w:r>
                </w:p>
              </w:tc>
              <w:tc>
                <w:tcPr>
                  <w:tcW w:w="41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11</w:t>
                  </w:r>
                </w:p>
              </w:tc>
              <w:tc>
                <w:tcPr>
                  <w:tcW w:w="385"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12</w:t>
                  </w:r>
                </w:p>
              </w:tc>
              <w:tc>
                <w:tcPr>
                  <w:tcW w:w="378"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117</w:t>
                  </w:r>
                </w:p>
              </w:tc>
              <w:tc>
                <w:tcPr>
                  <w:tcW w:w="36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123</w:t>
                  </w:r>
                </w:p>
              </w:tc>
              <w:tc>
                <w:tcPr>
                  <w:tcW w:w="5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exact"/>
              </w:trPr>
              <w:tc>
                <w:tcPr>
                  <w:tcW w:w="530"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841"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F230519A03</w:t>
                  </w:r>
                </w:p>
              </w:tc>
              <w:tc>
                <w:tcPr>
                  <w:tcW w:w="728"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1743</w:t>
                  </w:r>
                </w:p>
              </w:tc>
              <w:tc>
                <w:tcPr>
                  <w:tcW w:w="3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3.7</w:t>
                  </w:r>
                </w:p>
              </w:tc>
              <w:tc>
                <w:tcPr>
                  <w:tcW w:w="38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3.9</w:t>
                  </w:r>
                </w:p>
              </w:tc>
              <w:tc>
                <w:tcPr>
                  <w:tcW w:w="41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12</w:t>
                  </w:r>
                </w:p>
              </w:tc>
              <w:tc>
                <w:tcPr>
                  <w:tcW w:w="385"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r>
                    <w:rPr>
                      <w:rFonts w:ascii="Times New Roman" w:hAnsi="Times New Roman" w:cs="Times New Roman"/>
                      <w:szCs w:val="21"/>
                    </w:rPr>
                    <w:t>2</w:t>
                  </w:r>
                </w:p>
              </w:tc>
              <w:tc>
                <w:tcPr>
                  <w:tcW w:w="378"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r>
                    <w:rPr>
                      <w:rFonts w:ascii="Times New Roman" w:hAnsi="Times New Roman" w:cs="Times New Roman"/>
                      <w:szCs w:val="21"/>
                    </w:rPr>
                    <w:t>21</w:t>
                  </w:r>
                </w:p>
              </w:tc>
              <w:tc>
                <w:tcPr>
                  <w:tcW w:w="36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127</w:t>
                  </w:r>
                </w:p>
              </w:tc>
              <w:tc>
                <w:tcPr>
                  <w:tcW w:w="5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5" w:hRule="atLeast"/>
              </w:trPr>
              <w:tc>
                <w:tcPr>
                  <w:tcW w:w="530" w:type="pct"/>
                  <w:vMerge w:val="restart"/>
                  <w:tcBorders>
                    <w:tl2br w:val="nil"/>
                    <w:tr2bl w:val="nil"/>
                  </w:tcBorders>
                  <w:vAlign w:val="center"/>
                </w:tcPr>
                <w:p>
                  <w:pPr>
                    <w:spacing w:line="320" w:lineRule="exact"/>
                    <w:jc w:val="center"/>
                    <w:rPr>
                      <w:rFonts w:ascii="Times New Roman" w:hAnsi="Times New Roman" w:cs="Times New Roman"/>
                      <w:bCs/>
                      <w:szCs w:val="21"/>
                    </w:rPr>
                  </w:pPr>
                  <w:r>
                    <w:rPr>
                      <w:rFonts w:ascii="Times New Roman" w:hAnsi="Times New Roman" w:cs="Times New Roman"/>
                      <w:bCs/>
                      <w:szCs w:val="21"/>
                    </w:rPr>
                    <w:t>检测项目</w:t>
                  </w:r>
                </w:p>
              </w:tc>
              <w:tc>
                <w:tcPr>
                  <w:tcW w:w="4469" w:type="pct"/>
                  <w:gridSpan w:val="24"/>
                  <w:tcBorders>
                    <w:tl2br w:val="nil"/>
                    <w:tr2bl w:val="nil"/>
                  </w:tcBorders>
                  <w:vAlign w:val="center"/>
                </w:tcPr>
                <w:p>
                  <w:pPr>
                    <w:spacing w:line="320" w:lineRule="exact"/>
                    <w:jc w:val="center"/>
                    <w:rPr>
                      <w:rFonts w:ascii="Times New Roman" w:hAnsi="Times New Roman" w:cs="Times New Roman"/>
                      <w:bCs/>
                      <w:szCs w:val="21"/>
                    </w:rPr>
                  </w:pPr>
                  <w:r>
                    <w:rPr>
                      <w:rFonts w:ascii="Times New Roman" w:hAnsi="Times New Roman" w:eastAsia="宋体" w:cs="Times New Roman"/>
                      <w:bCs/>
                      <w:szCs w:val="21"/>
                    </w:rPr>
                    <w:t>供暖锅炉排气筒</w:t>
                  </w:r>
                  <w:r>
                    <w:rPr>
                      <w:rFonts w:ascii="Times New Roman" w:hAnsi="Times New Roman" w:cs="Times New Roman"/>
                      <w:bCs/>
                      <w:szCs w:val="21"/>
                    </w:rPr>
                    <w:t>检</w:t>
                  </w:r>
                  <w:r>
                    <w:rPr>
                      <w:rFonts w:ascii="Times New Roman" w:hAnsi="Times New Roman" w:eastAsia="宋体" w:cs="Times New Roman"/>
                      <w:bCs/>
                      <w:szCs w:val="21"/>
                    </w:rPr>
                    <w:t>测结果</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1" w:hRule="atLeast"/>
              </w:trPr>
              <w:tc>
                <w:tcPr>
                  <w:tcW w:w="530" w:type="pct"/>
                  <w:vMerge w:val="continue"/>
                  <w:tcBorders>
                    <w:tl2br w:val="nil"/>
                    <w:tr2bl w:val="nil"/>
                  </w:tcBorders>
                  <w:vAlign w:val="center"/>
                </w:tcPr>
                <w:p>
                  <w:pPr>
                    <w:spacing w:line="320" w:lineRule="exact"/>
                    <w:jc w:val="center"/>
                    <w:rPr>
                      <w:rFonts w:ascii="Times New Roman" w:hAnsi="Times New Roman" w:cs="Times New Roman"/>
                      <w:bCs/>
                      <w:szCs w:val="21"/>
                    </w:rPr>
                  </w:pPr>
                </w:p>
              </w:tc>
              <w:tc>
                <w:tcPr>
                  <w:tcW w:w="83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检测时间</w:t>
                  </w:r>
                </w:p>
              </w:tc>
              <w:tc>
                <w:tcPr>
                  <w:tcW w:w="3638" w:type="pct"/>
                  <w:gridSpan w:val="2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2023.05.18</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1" w:hRule="atLeast"/>
              </w:trPr>
              <w:tc>
                <w:tcPr>
                  <w:tcW w:w="530" w:type="pct"/>
                  <w:vMerge w:val="continue"/>
                  <w:tcBorders>
                    <w:tl2br w:val="nil"/>
                    <w:tr2bl w:val="nil"/>
                  </w:tcBorders>
                  <w:vAlign w:val="center"/>
                </w:tcPr>
                <w:p>
                  <w:pPr>
                    <w:spacing w:line="320" w:lineRule="exact"/>
                    <w:jc w:val="center"/>
                    <w:rPr>
                      <w:rFonts w:ascii="Times New Roman" w:hAnsi="Times New Roman" w:cs="Times New Roman"/>
                      <w:bCs/>
                      <w:szCs w:val="21"/>
                    </w:rPr>
                  </w:pPr>
                </w:p>
              </w:tc>
              <w:tc>
                <w:tcPr>
                  <w:tcW w:w="831" w:type="pct"/>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样品编号</w:t>
                  </w:r>
                </w:p>
              </w:tc>
              <w:tc>
                <w:tcPr>
                  <w:tcW w:w="729" w:type="pct"/>
                  <w:gridSpan w:val="3"/>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标杆流量（Nm³/h）</w:t>
                  </w:r>
                </w:p>
              </w:tc>
              <w:tc>
                <w:tcPr>
                  <w:tcW w:w="771" w:type="pct"/>
                  <w:gridSpan w:val="6"/>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颗粒物(mg/m³)</w:t>
                  </w:r>
                </w:p>
              </w:tc>
              <w:tc>
                <w:tcPr>
                  <w:tcW w:w="793" w:type="pct"/>
                  <w:gridSpan w:val="5"/>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SO</w:t>
                  </w:r>
                  <w:r>
                    <w:rPr>
                      <w:rFonts w:ascii="Times New Roman" w:hAnsi="Times New Roman" w:cs="Times New Roman"/>
                      <w:szCs w:val="21"/>
                      <w:vertAlign w:val="subscript"/>
                    </w:rPr>
                    <w:t>2</w:t>
                  </w:r>
                  <w:r>
                    <w:rPr>
                      <w:rFonts w:ascii="Times New Roman" w:hAnsi="Times New Roman" w:eastAsia="宋体" w:cs="Times New Roman"/>
                      <w:szCs w:val="21"/>
                    </w:rPr>
                    <w:t xml:space="preserve"> (mg/m³)</w:t>
                  </w:r>
                </w:p>
              </w:tc>
              <w:tc>
                <w:tcPr>
                  <w:tcW w:w="744" w:type="pct"/>
                  <w:gridSpan w:val="5"/>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 xml:space="preserve"> </w:t>
                  </w:r>
                  <w:r>
                    <w:rPr>
                      <w:rFonts w:ascii="Times New Roman" w:hAnsi="Times New Roman" w:cs="Times New Roman"/>
                      <w:szCs w:val="21"/>
                    </w:rPr>
                    <w:t>NOx</w:t>
                  </w:r>
                  <w:r>
                    <w:rPr>
                      <w:rFonts w:ascii="Times New Roman" w:hAnsi="Times New Roman" w:eastAsia="宋体" w:cs="Times New Roman"/>
                      <w:szCs w:val="21"/>
                    </w:rPr>
                    <w:t>(mg/m³)</w:t>
                  </w:r>
                </w:p>
              </w:tc>
              <w:tc>
                <w:tcPr>
                  <w:tcW w:w="600" w:type="pct"/>
                  <w:gridSpan w:val="4"/>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烟气黑度</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1" w:hRule="atLeast"/>
              </w:trPr>
              <w:tc>
                <w:tcPr>
                  <w:tcW w:w="530" w:type="pct"/>
                  <w:vMerge w:val="continue"/>
                  <w:tcBorders>
                    <w:tl2br w:val="nil"/>
                    <w:tr2bl w:val="nil"/>
                  </w:tcBorders>
                  <w:vAlign w:val="center"/>
                </w:tcPr>
                <w:p>
                  <w:pPr>
                    <w:spacing w:line="320" w:lineRule="exact"/>
                    <w:jc w:val="center"/>
                    <w:rPr>
                      <w:rFonts w:ascii="Times New Roman" w:hAnsi="Times New Roman" w:cs="Times New Roman"/>
                      <w:bCs/>
                      <w:szCs w:val="21"/>
                    </w:rPr>
                  </w:pPr>
                </w:p>
              </w:tc>
              <w:tc>
                <w:tcPr>
                  <w:tcW w:w="831"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729" w:type="pct"/>
                  <w:gridSpan w:val="3"/>
                  <w:vMerge w:val="continue"/>
                  <w:tcBorders>
                    <w:tl2br w:val="nil"/>
                    <w:tr2bl w:val="nil"/>
                  </w:tcBorders>
                  <w:vAlign w:val="center"/>
                </w:tcPr>
                <w:p>
                  <w:pPr>
                    <w:spacing w:line="320" w:lineRule="exact"/>
                    <w:jc w:val="center"/>
                    <w:rPr>
                      <w:rFonts w:ascii="Times New Roman" w:hAnsi="Times New Roman" w:cs="Times New Roman"/>
                      <w:szCs w:val="21"/>
                    </w:rPr>
                  </w:pPr>
                </w:p>
              </w:tc>
              <w:tc>
                <w:tcPr>
                  <w:tcW w:w="3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38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c>
                <w:tcPr>
                  <w:tcW w:w="41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376"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c>
                <w:tcPr>
                  <w:tcW w:w="379"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36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c>
                <w:tcPr>
                  <w:tcW w:w="600" w:type="pct"/>
                  <w:gridSpan w:val="4"/>
                  <w:vMerge w:val="continue"/>
                  <w:tcBorders>
                    <w:tl2br w:val="nil"/>
                    <w:tr2bl w:val="nil"/>
                  </w:tcBorders>
                  <w:vAlign w:val="center"/>
                </w:tcPr>
                <w:p>
                  <w:pPr>
                    <w:spacing w:line="320" w:lineRule="exact"/>
                    <w:jc w:val="center"/>
                    <w:rPr>
                      <w:rFonts w:ascii="Times New Roman" w:hAnsi="Times New Roman" w:cs="Times New Roman"/>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exact"/>
              </w:trPr>
              <w:tc>
                <w:tcPr>
                  <w:tcW w:w="530" w:type="pct"/>
                  <w:vMerge w:val="restart"/>
                  <w:tcBorders>
                    <w:tl2br w:val="nil"/>
                    <w:tr2bl w:val="nil"/>
                  </w:tcBorders>
                  <w:vAlign w:val="center"/>
                </w:tcPr>
                <w:p>
                  <w:pPr>
                    <w:widowControl/>
                    <w:spacing w:line="320" w:lineRule="exact"/>
                    <w:jc w:val="center"/>
                    <w:rPr>
                      <w:rFonts w:ascii="Times New Roman" w:hAnsi="Times New Roman" w:cs="Times New Roman"/>
                      <w:szCs w:val="21"/>
                    </w:rPr>
                  </w:pPr>
                  <w:r>
                    <w:rPr>
                      <w:rFonts w:ascii="Times New Roman" w:hAnsi="Times New Roman" w:eastAsia="宋体" w:cs="Times New Roman"/>
                      <w:szCs w:val="21"/>
                    </w:rPr>
                    <w:t>有组织废气</w:t>
                  </w:r>
                </w:p>
              </w:tc>
              <w:tc>
                <w:tcPr>
                  <w:tcW w:w="83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F230518B01</w:t>
                  </w:r>
                </w:p>
              </w:tc>
              <w:tc>
                <w:tcPr>
                  <w:tcW w:w="729"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1845</w:t>
                  </w:r>
                </w:p>
              </w:tc>
              <w:tc>
                <w:tcPr>
                  <w:tcW w:w="3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3.1</w:t>
                  </w:r>
                </w:p>
              </w:tc>
              <w:tc>
                <w:tcPr>
                  <w:tcW w:w="38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3.2</w:t>
                  </w:r>
                </w:p>
              </w:tc>
              <w:tc>
                <w:tcPr>
                  <w:tcW w:w="41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7</w:t>
                  </w:r>
                </w:p>
              </w:tc>
              <w:tc>
                <w:tcPr>
                  <w:tcW w:w="376"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7</w:t>
                  </w:r>
                </w:p>
              </w:tc>
              <w:tc>
                <w:tcPr>
                  <w:tcW w:w="379"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94</w:t>
                  </w:r>
                </w:p>
              </w:tc>
              <w:tc>
                <w:tcPr>
                  <w:tcW w:w="36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98</w:t>
                  </w:r>
                </w:p>
              </w:tc>
              <w:tc>
                <w:tcPr>
                  <w:tcW w:w="600" w:type="pct"/>
                  <w:gridSpan w:val="4"/>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exact"/>
              </w:trPr>
              <w:tc>
                <w:tcPr>
                  <w:tcW w:w="530" w:type="pct"/>
                  <w:vMerge w:val="continue"/>
                  <w:tcBorders>
                    <w:tl2br w:val="nil"/>
                    <w:tr2bl w:val="nil"/>
                  </w:tcBorders>
                  <w:vAlign w:val="center"/>
                </w:tcPr>
                <w:p>
                  <w:pPr>
                    <w:widowControl/>
                    <w:spacing w:line="320" w:lineRule="exact"/>
                    <w:jc w:val="center"/>
                    <w:rPr>
                      <w:rFonts w:ascii="Times New Roman" w:hAnsi="Times New Roman" w:cs="Times New Roman"/>
                      <w:szCs w:val="21"/>
                    </w:rPr>
                  </w:pPr>
                </w:p>
              </w:tc>
              <w:tc>
                <w:tcPr>
                  <w:tcW w:w="83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F230518B02</w:t>
                  </w:r>
                </w:p>
              </w:tc>
              <w:tc>
                <w:tcPr>
                  <w:tcW w:w="729"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1882</w:t>
                  </w:r>
                </w:p>
              </w:tc>
              <w:tc>
                <w:tcPr>
                  <w:tcW w:w="3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3.2</w:t>
                  </w:r>
                </w:p>
              </w:tc>
              <w:tc>
                <w:tcPr>
                  <w:tcW w:w="38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3.4</w:t>
                  </w:r>
                </w:p>
              </w:tc>
              <w:tc>
                <w:tcPr>
                  <w:tcW w:w="41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7</w:t>
                  </w:r>
                </w:p>
              </w:tc>
              <w:tc>
                <w:tcPr>
                  <w:tcW w:w="376"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7</w:t>
                  </w:r>
                </w:p>
              </w:tc>
              <w:tc>
                <w:tcPr>
                  <w:tcW w:w="379"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92</w:t>
                  </w:r>
                </w:p>
              </w:tc>
              <w:tc>
                <w:tcPr>
                  <w:tcW w:w="364" w:type="pct"/>
                  <w:gridSpan w:val="3"/>
                  <w:tcBorders>
                    <w:tl2br w:val="nil"/>
                    <w:tr2bl w:val="nil"/>
                  </w:tcBorders>
                  <w:vAlign w:val="center"/>
                </w:tcPr>
                <w:p>
                  <w:pPr>
                    <w:spacing w:line="320" w:lineRule="exact"/>
                    <w:jc w:val="center"/>
                    <w:rPr>
                      <w:rFonts w:ascii="Times New Roman" w:hAnsi="Times New Roman" w:cs="Times New Roman"/>
                    </w:rPr>
                  </w:pPr>
                  <w:r>
                    <w:rPr>
                      <w:rFonts w:ascii="Times New Roman" w:hAnsi="Times New Roman" w:cs="Times New Roman"/>
                      <w:szCs w:val="21"/>
                    </w:rPr>
                    <w:t>97</w:t>
                  </w:r>
                </w:p>
              </w:tc>
              <w:tc>
                <w:tcPr>
                  <w:tcW w:w="600" w:type="pct"/>
                  <w:gridSpan w:val="4"/>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exact"/>
              </w:trPr>
              <w:tc>
                <w:tcPr>
                  <w:tcW w:w="530" w:type="pct"/>
                  <w:vMerge w:val="continue"/>
                  <w:tcBorders>
                    <w:tl2br w:val="nil"/>
                    <w:tr2bl w:val="nil"/>
                  </w:tcBorders>
                  <w:vAlign w:val="center"/>
                </w:tcPr>
                <w:p>
                  <w:pPr>
                    <w:widowControl/>
                    <w:spacing w:line="320" w:lineRule="exact"/>
                    <w:jc w:val="center"/>
                    <w:rPr>
                      <w:rFonts w:ascii="Times New Roman" w:hAnsi="Times New Roman" w:cs="Times New Roman"/>
                      <w:szCs w:val="21"/>
                    </w:rPr>
                  </w:pPr>
                </w:p>
              </w:tc>
              <w:tc>
                <w:tcPr>
                  <w:tcW w:w="83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F230518B03</w:t>
                  </w:r>
                </w:p>
              </w:tc>
              <w:tc>
                <w:tcPr>
                  <w:tcW w:w="729"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1837</w:t>
                  </w:r>
                </w:p>
              </w:tc>
              <w:tc>
                <w:tcPr>
                  <w:tcW w:w="3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3.2</w:t>
                  </w:r>
                </w:p>
              </w:tc>
              <w:tc>
                <w:tcPr>
                  <w:tcW w:w="38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3.4</w:t>
                  </w:r>
                </w:p>
              </w:tc>
              <w:tc>
                <w:tcPr>
                  <w:tcW w:w="41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8</w:t>
                  </w:r>
                </w:p>
              </w:tc>
              <w:tc>
                <w:tcPr>
                  <w:tcW w:w="376"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8</w:t>
                  </w:r>
                </w:p>
              </w:tc>
              <w:tc>
                <w:tcPr>
                  <w:tcW w:w="379"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89</w:t>
                  </w:r>
                </w:p>
              </w:tc>
              <w:tc>
                <w:tcPr>
                  <w:tcW w:w="36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93</w:t>
                  </w:r>
                </w:p>
              </w:tc>
              <w:tc>
                <w:tcPr>
                  <w:tcW w:w="600" w:type="pct"/>
                  <w:gridSpan w:val="4"/>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exact"/>
              </w:trPr>
              <w:tc>
                <w:tcPr>
                  <w:tcW w:w="530" w:type="pct"/>
                  <w:vMerge w:val="continue"/>
                  <w:tcBorders>
                    <w:tl2br w:val="nil"/>
                    <w:tr2bl w:val="nil"/>
                  </w:tcBorders>
                  <w:vAlign w:val="center"/>
                </w:tcPr>
                <w:p>
                  <w:pPr>
                    <w:widowControl/>
                    <w:spacing w:line="320" w:lineRule="exact"/>
                    <w:jc w:val="center"/>
                    <w:rPr>
                      <w:rFonts w:ascii="Times New Roman" w:hAnsi="Times New Roman" w:cs="Times New Roman"/>
                      <w:szCs w:val="21"/>
                    </w:rPr>
                  </w:pPr>
                </w:p>
              </w:tc>
              <w:tc>
                <w:tcPr>
                  <w:tcW w:w="83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检测时间</w:t>
                  </w:r>
                </w:p>
              </w:tc>
              <w:tc>
                <w:tcPr>
                  <w:tcW w:w="3638" w:type="pct"/>
                  <w:gridSpan w:val="2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2023.05.19</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exact"/>
              </w:trPr>
              <w:tc>
                <w:tcPr>
                  <w:tcW w:w="530" w:type="pct"/>
                  <w:vMerge w:val="continue"/>
                  <w:tcBorders>
                    <w:tl2br w:val="nil"/>
                    <w:tr2bl w:val="nil"/>
                  </w:tcBorders>
                  <w:vAlign w:val="center"/>
                </w:tcPr>
                <w:p>
                  <w:pPr>
                    <w:widowControl/>
                    <w:spacing w:line="320" w:lineRule="exact"/>
                    <w:jc w:val="center"/>
                    <w:rPr>
                      <w:rFonts w:ascii="Times New Roman" w:hAnsi="Times New Roman" w:cs="Times New Roman"/>
                      <w:szCs w:val="21"/>
                    </w:rPr>
                  </w:pPr>
                </w:p>
              </w:tc>
              <w:tc>
                <w:tcPr>
                  <w:tcW w:w="831" w:type="pct"/>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样品编号</w:t>
                  </w:r>
                </w:p>
              </w:tc>
              <w:tc>
                <w:tcPr>
                  <w:tcW w:w="729" w:type="pct"/>
                  <w:gridSpan w:val="3"/>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标杆流量（Nm³/h）</w:t>
                  </w:r>
                </w:p>
              </w:tc>
              <w:tc>
                <w:tcPr>
                  <w:tcW w:w="771" w:type="pct"/>
                  <w:gridSpan w:val="6"/>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颗粒物(mg/m³)</w:t>
                  </w:r>
                </w:p>
              </w:tc>
              <w:tc>
                <w:tcPr>
                  <w:tcW w:w="793" w:type="pct"/>
                  <w:gridSpan w:val="5"/>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SO</w:t>
                  </w:r>
                  <w:r>
                    <w:rPr>
                      <w:rFonts w:ascii="Times New Roman" w:hAnsi="Times New Roman" w:cs="Times New Roman"/>
                      <w:szCs w:val="21"/>
                      <w:vertAlign w:val="subscript"/>
                    </w:rPr>
                    <w:t>2</w:t>
                  </w:r>
                  <w:r>
                    <w:rPr>
                      <w:rFonts w:ascii="Times New Roman" w:hAnsi="Times New Roman" w:eastAsia="宋体" w:cs="Times New Roman"/>
                      <w:szCs w:val="21"/>
                    </w:rPr>
                    <w:t xml:space="preserve"> (mg/m³)</w:t>
                  </w:r>
                </w:p>
              </w:tc>
              <w:tc>
                <w:tcPr>
                  <w:tcW w:w="744" w:type="pct"/>
                  <w:gridSpan w:val="5"/>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 xml:space="preserve"> </w:t>
                  </w:r>
                  <w:r>
                    <w:rPr>
                      <w:rFonts w:ascii="Times New Roman" w:hAnsi="Times New Roman" w:cs="Times New Roman"/>
                      <w:szCs w:val="21"/>
                    </w:rPr>
                    <w:t>NOx</w:t>
                  </w:r>
                  <w:r>
                    <w:rPr>
                      <w:rFonts w:ascii="Times New Roman" w:hAnsi="Times New Roman" w:eastAsia="宋体" w:cs="Times New Roman"/>
                      <w:szCs w:val="21"/>
                    </w:rPr>
                    <w:t>(mg/m³)</w:t>
                  </w:r>
                </w:p>
              </w:tc>
              <w:tc>
                <w:tcPr>
                  <w:tcW w:w="600" w:type="pct"/>
                  <w:gridSpan w:val="4"/>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烟气黑度</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exact"/>
              </w:trPr>
              <w:tc>
                <w:tcPr>
                  <w:tcW w:w="530" w:type="pct"/>
                  <w:vMerge w:val="continue"/>
                  <w:tcBorders>
                    <w:tl2br w:val="nil"/>
                    <w:tr2bl w:val="nil"/>
                  </w:tcBorders>
                  <w:vAlign w:val="center"/>
                </w:tcPr>
                <w:p>
                  <w:pPr>
                    <w:widowControl/>
                    <w:spacing w:line="320" w:lineRule="exact"/>
                    <w:jc w:val="center"/>
                    <w:rPr>
                      <w:rFonts w:ascii="Times New Roman" w:hAnsi="Times New Roman" w:cs="Times New Roman"/>
                      <w:szCs w:val="21"/>
                    </w:rPr>
                  </w:pPr>
                </w:p>
              </w:tc>
              <w:tc>
                <w:tcPr>
                  <w:tcW w:w="831"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729" w:type="pct"/>
                  <w:gridSpan w:val="3"/>
                  <w:vMerge w:val="continue"/>
                  <w:tcBorders>
                    <w:tl2br w:val="nil"/>
                    <w:tr2bl w:val="nil"/>
                  </w:tcBorders>
                  <w:vAlign w:val="center"/>
                </w:tcPr>
                <w:p>
                  <w:pPr>
                    <w:spacing w:line="320" w:lineRule="exact"/>
                    <w:jc w:val="center"/>
                    <w:rPr>
                      <w:rFonts w:ascii="Times New Roman" w:hAnsi="Times New Roman" w:cs="Times New Roman"/>
                      <w:szCs w:val="21"/>
                    </w:rPr>
                  </w:pPr>
                </w:p>
              </w:tc>
              <w:tc>
                <w:tcPr>
                  <w:tcW w:w="3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38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c>
                <w:tcPr>
                  <w:tcW w:w="41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376"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c>
                <w:tcPr>
                  <w:tcW w:w="379"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36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c>
                <w:tcPr>
                  <w:tcW w:w="600" w:type="pct"/>
                  <w:gridSpan w:val="4"/>
                  <w:vMerge w:val="continue"/>
                  <w:tcBorders>
                    <w:tl2br w:val="nil"/>
                    <w:tr2bl w:val="nil"/>
                  </w:tcBorders>
                  <w:vAlign w:val="center"/>
                </w:tcPr>
                <w:p>
                  <w:pPr>
                    <w:spacing w:line="320" w:lineRule="exact"/>
                    <w:jc w:val="center"/>
                    <w:rPr>
                      <w:rFonts w:ascii="Times New Roman" w:hAnsi="Times New Roman" w:cs="Times New Roman"/>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exact"/>
              </w:trPr>
              <w:tc>
                <w:tcPr>
                  <w:tcW w:w="530" w:type="pct"/>
                  <w:vMerge w:val="continue"/>
                  <w:tcBorders>
                    <w:tl2br w:val="nil"/>
                    <w:tr2bl w:val="nil"/>
                  </w:tcBorders>
                  <w:vAlign w:val="center"/>
                </w:tcPr>
                <w:p>
                  <w:pPr>
                    <w:widowControl/>
                    <w:spacing w:line="320" w:lineRule="exact"/>
                    <w:jc w:val="center"/>
                    <w:rPr>
                      <w:rFonts w:ascii="Times New Roman" w:hAnsi="Times New Roman" w:cs="Times New Roman"/>
                      <w:szCs w:val="21"/>
                    </w:rPr>
                  </w:pPr>
                </w:p>
              </w:tc>
              <w:tc>
                <w:tcPr>
                  <w:tcW w:w="83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F230519B01</w:t>
                  </w:r>
                </w:p>
              </w:tc>
              <w:tc>
                <w:tcPr>
                  <w:tcW w:w="729"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1856</w:t>
                  </w:r>
                </w:p>
              </w:tc>
              <w:tc>
                <w:tcPr>
                  <w:tcW w:w="3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3.2</w:t>
                  </w:r>
                </w:p>
              </w:tc>
              <w:tc>
                <w:tcPr>
                  <w:tcW w:w="38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3.4</w:t>
                  </w:r>
                </w:p>
              </w:tc>
              <w:tc>
                <w:tcPr>
                  <w:tcW w:w="41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6</w:t>
                  </w:r>
                </w:p>
              </w:tc>
              <w:tc>
                <w:tcPr>
                  <w:tcW w:w="376"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6</w:t>
                  </w:r>
                </w:p>
              </w:tc>
              <w:tc>
                <w:tcPr>
                  <w:tcW w:w="379"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88</w:t>
                  </w:r>
                </w:p>
              </w:tc>
              <w:tc>
                <w:tcPr>
                  <w:tcW w:w="36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92</w:t>
                  </w:r>
                </w:p>
              </w:tc>
              <w:tc>
                <w:tcPr>
                  <w:tcW w:w="600" w:type="pct"/>
                  <w:gridSpan w:val="4"/>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exact"/>
              </w:trPr>
              <w:tc>
                <w:tcPr>
                  <w:tcW w:w="530" w:type="pct"/>
                  <w:vMerge w:val="continue"/>
                  <w:tcBorders>
                    <w:tl2br w:val="nil"/>
                    <w:tr2bl w:val="nil"/>
                  </w:tcBorders>
                  <w:vAlign w:val="center"/>
                </w:tcPr>
                <w:p>
                  <w:pPr>
                    <w:widowControl/>
                    <w:spacing w:line="320" w:lineRule="exact"/>
                    <w:jc w:val="center"/>
                    <w:rPr>
                      <w:rFonts w:ascii="Times New Roman" w:hAnsi="Times New Roman" w:cs="Times New Roman"/>
                      <w:szCs w:val="21"/>
                    </w:rPr>
                  </w:pPr>
                </w:p>
              </w:tc>
              <w:tc>
                <w:tcPr>
                  <w:tcW w:w="83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F230519B02</w:t>
                  </w:r>
                </w:p>
              </w:tc>
              <w:tc>
                <w:tcPr>
                  <w:tcW w:w="729"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1783</w:t>
                  </w:r>
                </w:p>
              </w:tc>
              <w:tc>
                <w:tcPr>
                  <w:tcW w:w="3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3.3</w:t>
                  </w:r>
                </w:p>
              </w:tc>
              <w:tc>
                <w:tcPr>
                  <w:tcW w:w="38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w:t>
                  </w:r>
                  <w:r>
                    <w:rPr>
                      <w:rFonts w:ascii="Times New Roman" w:hAnsi="Times New Roman" w:eastAsia="宋体" w:cs="Times New Roman"/>
                      <w:szCs w:val="21"/>
                    </w:rPr>
                    <w:t>.5</w:t>
                  </w:r>
                </w:p>
              </w:tc>
              <w:tc>
                <w:tcPr>
                  <w:tcW w:w="41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8</w:t>
                  </w:r>
                </w:p>
              </w:tc>
              <w:tc>
                <w:tcPr>
                  <w:tcW w:w="376"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8</w:t>
                  </w:r>
                </w:p>
              </w:tc>
              <w:tc>
                <w:tcPr>
                  <w:tcW w:w="379"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86</w:t>
                  </w:r>
                </w:p>
              </w:tc>
              <w:tc>
                <w:tcPr>
                  <w:tcW w:w="36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91</w:t>
                  </w:r>
                </w:p>
              </w:tc>
              <w:tc>
                <w:tcPr>
                  <w:tcW w:w="600" w:type="pct"/>
                  <w:gridSpan w:val="4"/>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exact"/>
              </w:trPr>
              <w:tc>
                <w:tcPr>
                  <w:tcW w:w="530" w:type="pct"/>
                  <w:vMerge w:val="continue"/>
                  <w:tcBorders>
                    <w:tl2br w:val="nil"/>
                    <w:tr2bl w:val="nil"/>
                  </w:tcBorders>
                  <w:vAlign w:val="center"/>
                </w:tcPr>
                <w:p>
                  <w:pPr>
                    <w:widowControl/>
                    <w:spacing w:line="320" w:lineRule="exact"/>
                    <w:jc w:val="center"/>
                    <w:rPr>
                      <w:rFonts w:ascii="Times New Roman" w:hAnsi="Times New Roman" w:cs="Times New Roman"/>
                      <w:szCs w:val="21"/>
                    </w:rPr>
                  </w:pPr>
                </w:p>
              </w:tc>
              <w:tc>
                <w:tcPr>
                  <w:tcW w:w="831"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F230519B03</w:t>
                  </w:r>
                </w:p>
              </w:tc>
              <w:tc>
                <w:tcPr>
                  <w:tcW w:w="729"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1825</w:t>
                  </w:r>
                </w:p>
              </w:tc>
              <w:tc>
                <w:tcPr>
                  <w:tcW w:w="38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3.0</w:t>
                  </w:r>
                </w:p>
              </w:tc>
              <w:tc>
                <w:tcPr>
                  <w:tcW w:w="38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3.2</w:t>
                  </w:r>
                </w:p>
              </w:tc>
              <w:tc>
                <w:tcPr>
                  <w:tcW w:w="416"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6</w:t>
                  </w:r>
                </w:p>
              </w:tc>
              <w:tc>
                <w:tcPr>
                  <w:tcW w:w="376"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6</w:t>
                  </w:r>
                </w:p>
              </w:tc>
              <w:tc>
                <w:tcPr>
                  <w:tcW w:w="379"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93</w:t>
                  </w:r>
                </w:p>
              </w:tc>
              <w:tc>
                <w:tcPr>
                  <w:tcW w:w="364"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98</w:t>
                  </w:r>
                </w:p>
              </w:tc>
              <w:tc>
                <w:tcPr>
                  <w:tcW w:w="600" w:type="pct"/>
                  <w:gridSpan w:val="4"/>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gridAfter w:val="1"/>
                <w:wAfter w:w="41" w:type="pct"/>
                <w:trHeight w:val="395" w:hRule="atLeast"/>
              </w:trPr>
              <w:tc>
                <w:tcPr>
                  <w:tcW w:w="530" w:type="pct"/>
                  <w:vMerge w:val="restart"/>
                  <w:tcBorders>
                    <w:tl2br w:val="nil"/>
                    <w:tr2bl w:val="nil"/>
                  </w:tcBorders>
                  <w:vAlign w:val="center"/>
                </w:tcPr>
                <w:p>
                  <w:pPr>
                    <w:spacing w:line="320" w:lineRule="exact"/>
                    <w:jc w:val="center"/>
                    <w:rPr>
                      <w:rFonts w:ascii="Times New Roman" w:hAnsi="Times New Roman" w:cs="Times New Roman"/>
                      <w:bCs/>
                      <w:szCs w:val="21"/>
                    </w:rPr>
                  </w:pPr>
                  <w:r>
                    <w:rPr>
                      <w:rFonts w:ascii="Times New Roman" w:hAnsi="Times New Roman" w:cs="Times New Roman"/>
                      <w:bCs/>
                      <w:szCs w:val="21"/>
                    </w:rPr>
                    <w:t>检测项目</w:t>
                  </w:r>
                </w:p>
              </w:tc>
              <w:tc>
                <w:tcPr>
                  <w:tcW w:w="4428" w:type="pct"/>
                  <w:gridSpan w:val="23"/>
                  <w:tcBorders>
                    <w:tl2br w:val="nil"/>
                    <w:tr2bl w:val="nil"/>
                  </w:tcBorders>
                  <w:vAlign w:val="center"/>
                </w:tcPr>
                <w:p>
                  <w:pPr>
                    <w:spacing w:line="320" w:lineRule="exact"/>
                    <w:jc w:val="center"/>
                    <w:rPr>
                      <w:rFonts w:ascii="Times New Roman" w:hAnsi="Times New Roman" w:cs="Times New Roman"/>
                      <w:bCs/>
                      <w:szCs w:val="21"/>
                    </w:rPr>
                  </w:pPr>
                  <w:r>
                    <w:rPr>
                      <w:rFonts w:ascii="Times New Roman" w:hAnsi="Times New Roman" w:eastAsia="宋体" w:cs="Times New Roman"/>
                      <w:bCs/>
                      <w:szCs w:val="21"/>
                    </w:rPr>
                    <w:t>干燥筒排气筒</w:t>
                  </w:r>
                  <w:r>
                    <w:rPr>
                      <w:rFonts w:ascii="Times New Roman" w:hAnsi="Times New Roman" w:cs="Times New Roman"/>
                      <w:bCs/>
                      <w:szCs w:val="21"/>
                    </w:rPr>
                    <w:t>检</w:t>
                  </w:r>
                  <w:r>
                    <w:rPr>
                      <w:rFonts w:ascii="Times New Roman" w:hAnsi="Times New Roman" w:eastAsia="宋体" w:cs="Times New Roman"/>
                      <w:bCs/>
                      <w:szCs w:val="21"/>
                    </w:rPr>
                    <w:t>测结果</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gridAfter w:val="1"/>
                <w:wAfter w:w="41" w:type="pct"/>
                <w:trHeight w:val="391" w:hRule="atLeast"/>
              </w:trPr>
              <w:tc>
                <w:tcPr>
                  <w:tcW w:w="530" w:type="pct"/>
                  <w:vMerge w:val="continue"/>
                  <w:tcBorders>
                    <w:tl2br w:val="nil"/>
                    <w:tr2bl w:val="nil"/>
                  </w:tcBorders>
                  <w:vAlign w:val="center"/>
                </w:tcPr>
                <w:p>
                  <w:pPr>
                    <w:spacing w:line="320" w:lineRule="exact"/>
                    <w:jc w:val="center"/>
                    <w:rPr>
                      <w:rFonts w:ascii="Times New Roman" w:hAnsi="Times New Roman" w:cs="Times New Roman"/>
                      <w:b/>
                      <w:bCs/>
                      <w:szCs w:val="21"/>
                    </w:rPr>
                  </w:pPr>
                </w:p>
              </w:tc>
              <w:tc>
                <w:tcPr>
                  <w:tcW w:w="997"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检测时间</w:t>
                  </w:r>
                </w:p>
              </w:tc>
              <w:tc>
                <w:tcPr>
                  <w:tcW w:w="3431" w:type="pct"/>
                  <w:gridSpan w:val="20"/>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2023.05.18</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gridAfter w:val="1"/>
                <w:wAfter w:w="41" w:type="pct"/>
                <w:trHeight w:val="722" w:hRule="atLeast"/>
              </w:trPr>
              <w:tc>
                <w:tcPr>
                  <w:tcW w:w="530" w:type="pct"/>
                  <w:vMerge w:val="continue"/>
                  <w:tcBorders>
                    <w:tl2br w:val="nil"/>
                    <w:tr2bl w:val="nil"/>
                  </w:tcBorders>
                  <w:vAlign w:val="center"/>
                </w:tcPr>
                <w:p>
                  <w:pPr>
                    <w:spacing w:line="320" w:lineRule="exact"/>
                    <w:jc w:val="center"/>
                    <w:rPr>
                      <w:rFonts w:ascii="Times New Roman" w:hAnsi="Times New Roman" w:cs="Times New Roman"/>
                      <w:b/>
                      <w:bCs/>
                      <w:szCs w:val="21"/>
                    </w:rPr>
                  </w:pPr>
                </w:p>
              </w:tc>
              <w:tc>
                <w:tcPr>
                  <w:tcW w:w="997" w:type="pct"/>
                  <w:gridSpan w:val="3"/>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样品编号</w:t>
                  </w:r>
                </w:p>
              </w:tc>
              <w:tc>
                <w:tcPr>
                  <w:tcW w:w="810" w:type="pct"/>
                  <w:gridSpan w:val="3"/>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标杆流量（Nm³/h）</w:t>
                  </w:r>
                </w:p>
              </w:tc>
              <w:tc>
                <w:tcPr>
                  <w:tcW w:w="868" w:type="pct"/>
                  <w:gridSpan w:val="6"/>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颗粒物(mg/m³)</w:t>
                  </w:r>
                </w:p>
              </w:tc>
              <w:tc>
                <w:tcPr>
                  <w:tcW w:w="887" w:type="pct"/>
                  <w:gridSpan w:val="7"/>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SO₂</w:t>
                  </w:r>
                  <w:r>
                    <w:rPr>
                      <w:rFonts w:ascii="Times New Roman" w:hAnsi="Times New Roman" w:eastAsia="宋体" w:cs="Times New Roman"/>
                      <w:szCs w:val="21"/>
                    </w:rPr>
                    <w:t>(mg/m³)</w:t>
                  </w:r>
                </w:p>
              </w:tc>
              <w:tc>
                <w:tcPr>
                  <w:tcW w:w="864" w:type="pct"/>
                  <w:gridSpan w:val="4"/>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 xml:space="preserve"> </w:t>
                  </w:r>
                  <w:r>
                    <w:rPr>
                      <w:rFonts w:ascii="Times New Roman" w:hAnsi="Times New Roman" w:cs="Times New Roman"/>
                      <w:szCs w:val="21"/>
                    </w:rPr>
                    <w:t>NOx</w:t>
                  </w:r>
                  <w:r>
                    <w:rPr>
                      <w:rFonts w:ascii="Times New Roman" w:hAnsi="Times New Roman" w:eastAsia="宋体" w:cs="Times New Roman"/>
                      <w:szCs w:val="21"/>
                    </w:rPr>
                    <w:t>(mg/m³)</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gridAfter w:val="1"/>
                <w:wAfter w:w="41" w:type="pct"/>
                <w:trHeight w:val="391" w:hRule="atLeast"/>
              </w:trPr>
              <w:tc>
                <w:tcPr>
                  <w:tcW w:w="530" w:type="pct"/>
                  <w:vMerge w:val="continue"/>
                  <w:tcBorders>
                    <w:tl2br w:val="nil"/>
                    <w:tr2bl w:val="nil"/>
                  </w:tcBorders>
                  <w:vAlign w:val="center"/>
                </w:tcPr>
                <w:p>
                  <w:pPr>
                    <w:spacing w:line="320" w:lineRule="exact"/>
                    <w:jc w:val="center"/>
                    <w:rPr>
                      <w:rFonts w:ascii="Times New Roman" w:hAnsi="Times New Roman" w:cs="Times New Roman"/>
                      <w:b/>
                      <w:bCs/>
                      <w:szCs w:val="21"/>
                    </w:rPr>
                  </w:pPr>
                </w:p>
              </w:tc>
              <w:tc>
                <w:tcPr>
                  <w:tcW w:w="997" w:type="pct"/>
                  <w:gridSpan w:val="3"/>
                  <w:vMerge w:val="continue"/>
                  <w:tcBorders>
                    <w:tl2br w:val="nil"/>
                    <w:tr2bl w:val="nil"/>
                  </w:tcBorders>
                  <w:vAlign w:val="center"/>
                </w:tcPr>
                <w:p>
                  <w:pPr>
                    <w:spacing w:line="320" w:lineRule="exact"/>
                    <w:jc w:val="center"/>
                    <w:rPr>
                      <w:rFonts w:ascii="Times New Roman" w:hAnsi="Times New Roman" w:cs="Times New Roman"/>
                      <w:szCs w:val="21"/>
                    </w:rPr>
                  </w:pPr>
                </w:p>
              </w:tc>
              <w:tc>
                <w:tcPr>
                  <w:tcW w:w="810" w:type="pct"/>
                  <w:gridSpan w:val="3"/>
                  <w:vMerge w:val="continue"/>
                  <w:tcBorders>
                    <w:tl2br w:val="nil"/>
                    <w:tr2bl w:val="nil"/>
                  </w:tcBorders>
                  <w:vAlign w:val="center"/>
                </w:tcPr>
                <w:p>
                  <w:pPr>
                    <w:spacing w:line="320" w:lineRule="exact"/>
                    <w:jc w:val="center"/>
                    <w:rPr>
                      <w:rFonts w:ascii="Times New Roman" w:hAnsi="Times New Roman" w:cs="Times New Roman"/>
                      <w:szCs w:val="21"/>
                    </w:rPr>
                  </w:pPr>
                </w:p>
              </w:tc>
              <w:tc>
                <w:tcPr>
                  <w:tcW w:w="43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437"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c>
                <w:tcPr>
                  <w:tcW w:w="466" w:type="pct"/>
                  <w:gridSpan w:val="4"/>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42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c>
                <w:tcPr>
                  <w:tcW w:w="42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44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gridAfter w:val="1"/>
                <w:wAfter w:w="41" w:type="pct"/>
                <w:trHeight w:val="397" w:hRule="exact"/>
              </w:trPr>
              <w:tc>
                <w:tcPr>
                  <w:tcW w:w="530" w:type="pct"/>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有组织废气</w:t>
                  </w:r>
                </w:p>
              </w:tc>
              <w:tc>
                <w:tcPr>
                  <w:tcW w:w="997"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F230518G01</w:t>
                  </w:r>
                </w:p>
              </w:tc>
              <w:tc>
                <w:tcPr>
                  <w:tcW w:w="810"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8544</w:t>
                  </w:r>
                </w:p>
              </w:tc>
              <w:tc>
                <w:tcPr>
                  <w:tcW w:w="43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3.0</w:t>
                  </w:r>
                </w:p>
              </w:tc>
              <w:tc>
                <w:tcPr>
                  <w:tcW w:w="437"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3.2</w:t>
                  </w:r>
                </w:p>
              </w:tc>
              <w:tc>
                <w:tcPr>
                  <w:tcW w:w="466" w:type="pct"/>
                  <w:gridSpan w:val="4"/>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11</w:t>
                  </w:r>
                </w:p>
              </w:tc>
              <w:tc>
                <w:tcPr>
                  <w:tcW w:w="42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12</w:t>
                  </w:r>
                </w:p>
              </w:tc>
              <w:tc>
                <w:tcPr>
                  <w:tcW w:w="42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105</w:t>
                  </w:r>
                </w:p>
              </w:tc>
              <w:tc>
                <w:tcPr>
                  <w:tcW w:w="44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111</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gridAfter w:val="1"/>
                <w:wAfter w:w="41" w:type="pct"/>
                <w:trHeight w:val="397" w:hRule="exact"/>
              </w:trPr>
              <w:tc>
                <w:tcPr>
                  <w:tcW w:w="530"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997"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F230518G02</w:t>
                  </w:r>
                </w:p>
              </w:tc>
              <w:tc>
                <w:tcPr>
                  <w:tcW w:w="810"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8685</w:t>
                  </w:r>
                </w:p>
              </w:tc>
              <w:tc>
                <w:tcPr>
                  <w:tcW w:w="43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3.0</w:t>
                  </w:r>
                </w:p>
              </w:tc>
              <w:tc>
                <w:tcPr>
                  <w:tcW w:w="437"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3.1</w:t>
                  </w:r>
                </w:p>
              </w:tc>
              <w:tc>
                <w:tcPr>
                  <w:tcW w:w="466" w:type="pct"/>
                  <w:gridSpan w:val="4"/>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12</w:t>
                  </w:r>
                </w:p>
              </w:tc>
              <w:tc>
                <w:tcPr>
                  <w:tcW w:w="42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13</w:t>
                  </w:r>
                </w:p>
              </w:tc>
              <w:tc>
                <w:tcPr>
                  <w:tcW w:w="42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104</w:t>
                  </w:r>
                </w:p>
              </w:tc>
              <w:tc>
                <w:tcPr>
                  <w:tcW w:w="44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108</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gridAfter w:val="1"/>
                <w:wAfter w:w="41" w:type="pct"/>
                <w:trHeight w:val="397" w:hRule="exact"/>
              </w:trPr>
              <w:tc>
                <w:tcPr>
                  <w:tcW w:w="530"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997"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F230518G03</w:t>
                  </w:r>
                </w:p>
              </w:tc>
              <w:tc>
                <w:tcPr>
                  <w:tcW w:w="810"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8672</w:t>
                  </w:r>
                </w:p>
              </w:tc>
              <w:tc>
                <w:tcPr>
                  <w:tcW w:w="43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3.1</w:t>
                  </w:r>
                </w:p>
              </w:tc>
              <w:tc>
                <w:tcPr>
                  <w:tcW w:w="437"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3.2</w:t>
                  </w:r>
                </w:p>
              </w:tc>
              <w:tc>
                <w:tcPr>
                  <w:tcW w:w="466" w:type="pct"/>
                  <w:gridSpan w:val="4"/>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12</w:t>
                  </w:r>
                </w:p>
              </w:tc>
              <w:tc>
                <w:tcPr>
                  <w:tcW w:w="42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13</w:t>
                  </w:r>
                </w:p>
              </w:tc>
              <w:tc>
                <w:tcPr>
                  <w:tcW w:w="42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108</w:t>
                  </w:r>
                </w:p>
              </w:tc>
              <w:tc>
                <w:tcPr>
                  <w:tcW w:w="44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113</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gridAfter w:val="1"/>
                <w:wAfter w:w="41" w:type="pct"/>
                <w:trHeight w:val="397" w:hRule="exact"/>
              </w:trPr>
              <w:tc>
                <w:tcPr>
                  <w:tcW w:w="530"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997"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检测时间</w:t>
                  </w:r>
                </w:p>
              </w:tc>
              <w:tc>
                <w:tcPr>
                  <w:tcW w:w="3431" w:type="pct"/>
                  <w:gridSpan w:val="20"/>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2023.05.19</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gridAfter w:val="1"/>
                <w:wAfter w:w="41" w:type="pct"/>
                <w:trHeight w:val="397" w:hRule="exact"/>
              </w:trPr>
              <w:tc>
                <w:tcPr>
                  <w:tcW w:w="530"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997" w:type="pct"/>
                  <w:gridSpan w:val="3"/>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样品编号</w:t>
                  </w:r>
                </w:p>
              </w:tc>
              <w:tc>
                <w:tcPr>
                  <w:tcW w:w="810" w:type="pct"/>
                  <w:gridSpan w:val="3"/>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标杆流量（Nm³/h）</w:t>
                  </w:r>
                </w:p>
              </w:tc>
              <w:tc>
                <w:tcPr>
                  <w:tcW w:w="868" w:type="pct"/>
                  <w:gridSpan w:val="6"/>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颗粒物(mg/m³)</w:t>
                  </w:r>
                </w:p>
              </w:tc>
              <w:tc>
                <w:tcPr>
                  <w:tcW w:w="887" w:type="pct"/>
                  <w:gridSpan w:val="7"/>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cs="Times New Roman"/>
                      <w:szCs w:val="21"/>
                    </w:rPr>
                    <w:t>SO₂</w:t>
                  </w:r>
                  <w:r>
                    <w:rPr>
                      <w:rFonts w:ascii="Times New Roman" w:hAnsi="Times New Roman" w:eastAsia="宋体" w:cs="Times New Roman"/>
                      <w:szCs w:val="21"/>
                    </w:rPr>
                    <w:t>(mg/m³)</w:t>
                  </w:r>
                </w:p>
              </w:tc>
              <w:tc>
                <w:tcPr>
                  <w:tcW w:w="864" w:type="pct"/>
                  <w:gridSpan w:val="4"/>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 xml:space="preserve"> </w:t>
                  </w:r>
                  <w:r>
                    <w:rPr>
                      <w:rFonts w:ascii="Times New Roman" w:hAnsi="Times New Roman" w:cs="Times New Roman"/>
                      <w:szCs w:val="21"/>
                    </w:rPr>
                    <w:t>NOx</w:t>
                  </w:r>
                  <w:r>
                    <w:rPr>
                      <w:rFonts w:ascii="Times New Roman" w:hAnsi="Times New Roman" w:eastAsia="宋体" w:cs="Times New Roman"/>
                      <w:szCs w:val="21"/>
                    </w:rPr>
                    <w:t>(mg/m³)</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gridAfter w:val="1"/>
                <w:wAfter w:w="41" w:type="pct"/>
                <w:trHeight w:val="397" w:hRule="exact"/>
              </w:trPr>
              <w:tc>
                <w:tcPr>
                  <w:tcW w:w="530"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997" w:type="pct"/>
                  <w:gridSpan w:val="3"/>
                  <w:vMerge w:val="continue"/>
                  <w:tcBorders>
                    <w:tl2br w:val="nil"/>
                    <w:tr2bl w:val="nil"/>
                  </w:tcBorders>
                  <w:vAlign w:val="center"/>
                </w:tcPr>
                <w:p>
                  <w:pPr>
                    <w:spacing w:line="320" w:lineRule="exact"/>
                    <w:jc w:val="center"/>
                    <w:rPr>
                      <w:rFonts w:ascii="Times New Roman" w:hAnsi="Times New Roman" w:cs="Times New Roman"/>
                      <w:szCs w:val="21"/>
                    </w:rPr>
                  </w:pPr>
                </w:p>
              </w:tc>
              <w:tc>
                <w:tcPr>
                  <w:tcW w:w="810" w:type="pct"/>
                  <w:gridSpan w:val="3"/>
                  <w:vMerge w:val="continue"/>
                  <w:tcBorders>
                    <w:tl2br w:val="nil"/>
                    <w:tr2bl w:val="nil"/>
                  </w:tcBorders>
                  <w:vAlign w:val="center"/>
                </w:tcPr>
                <w:p>
                  <w:pPr>
                    <w:spacing w:line="320" w:lineRule="exact"/>
                    <w:jc w:val="center"/>
                    <w:rPr>
                      <w:rFonts w:ascii="Times New Roman" w:hAnsi="Times New Roman" w:cs="Times New Roman"/>
                      <w:szCs w:val="21"/>
                    </w:rPr>
                  </w:pPr>
                </w:p>
              </w:tc>
              <w:tc>
                <w:tcPr>
                  <w:tcW w:w="43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437"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c>
                <w:tcPr>
                  <w:tcW w:w="466" w:type="pct"/>
                  <w:gridSpan w:val="4"/>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42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c>
                <w:tcPr>
                  <w:tcW w:w="42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44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gridAfter w:val="1"/>
                <w:wAfter w:w="41" w:type="pct"/>
                <w:trHeight w:val="397" w:hRule="exact"/>
              </w:trPr>
              <w:tc>
                <w:tcPr>
                  <w:tcW w:w="530"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997"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F230519G01</w:t>
                  </w:r>
                </w:p>
              </w:tc>
              <w:tc>
                <w:tcPr>
                  <w:tcW w:w="810"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8664</w:t>
                  </w:r>
                </w:p>
              </w:tc>
              <w:tc>
                <w:tcPr>
                  <w:tcW w:w="43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3.1</w:t>
                  </w:r>
                </w:p>
              </w:tc>
              <w:tc>
                <w:tcPr>
                  <w:tcW w:w="437"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3.2</w:t>
                  </w:r>
                </w:p>
              </w:tc>
              <w:tc>
                <w:tcPr>
                  <w:tcW w:w="466" w:type="pct"/>
                  <w:gridSpan w:val="4"/>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10</w:t>
                  </w:r>
                </w:p>
              </w:tc>
              <w:tc>
                <w:tcPr>
                  <w:tcW w:w="42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10</w:t>
                  </w:r>
                </w:p>
              </w:tc>
              <w:tc>
                <w:tcPr>
                  <w:tcW w:w="42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112</w:t>
                  </w:r>
                </w:p>
              </w:tc>
              <w:tc>
                <w:tcPr>
                  <w:tcW w:w="44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117</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gridAfter w:val="1"/>
                <w:wAfter w:w="41" w:type="pct"/>
                <w:trHeight w:val="397" w:hRule="exact"/>
              </w:trPr>
              <w:tc>
                <w:tcPr>
                  <w:tcW w:w="530"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997"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F230519G02</w:t>
                  </w:r>
                </w:p>
              </w:tc>
              <w:tc>
                <w:tcPr>
                  <w:tcW w:w="810"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8713</w:t>
                  </w:r>
                </w:p>
              </w:tc>
              <w:tc>
                <w:tcPr>
                  <w:tcW w:w="43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3.1</w:t>
                  </w:r>
                </w:p>
              </w:tc>
              <w:tc>
                <w:tcPr>
                  <w:tcW w:w="437"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3.2</w:t>
                  </w:r>
                </w:p>
              </w:tc>
              <w:tc>
                <w:tcPr>
                  <w:tcW w:w="466" w:type="pct"/>
                  <w:gridSpan w:val="4"/>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12</w:t>
                  </w:r>
                </w:p>
              </w:tc>
              <w:tc>
                <w:tcPr>
                  <w:tcW w:w="42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13</w:t>
                  </w:r>
                </w:p>
              </w:tc>
              <w:tc>
                <w:tcPr>
                  <w:tcW w:w="42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109</w:t>
                  </w:r>
                </w:p>
              </w:tc>
              <w:tc>
                <w:tcPr>
                  <w:tcW w:w="44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114</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gridAfter w:val="1"/>
                <w:wAfter w:w="41" w:type="pct"/>
                <w:trHeight w:val="397" w:hRule="exact"/>
              </w:trPr>
              <w:tc>
                <w:tcPr>
                  <w:tcW w:w="530"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997"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F230519G03</w:t>
                  </w:r>
                </w:p>
              </w:tc>
              <w:tc>
                <w:tcPr>
                  <w:tcW w:w="810"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8697</w:t>
                  </w:r>
                </w:p>
              </w:tc>
              <w:tc>
                <w:tcPr>
                  <w:tcW w:w="43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2.8</w:t>
                  </w:r>
                </w:p>
              </w:tc>
              <w:tc>
                <w:tcPr>
                  <w:tcW w:w="437"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2.9</w:t>
                  </w:r>
                </w:p>
              </w:tc>
              <w:tc>
                <w:tcPr>
                  <w:tcW w:w="466" w:type="pct"/>
                  <w:gridSpan w:val="4"/>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11</w:t>
                  </w:r>
                </w:p>
              </w:tc>
              <w:tc>
                <w:tcPr>
                  <w:tcW w:w="42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12</w:t>
                  </w:r>
                </w:p>
              </w:tc>
              <w:tc>
                <w:tcPr>
                  <w:tcW w:w="421" w:type="pct"/>
                  <w:gridSpan w:val="3"/>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107</w:t>
                  </w:r>
                </w:p>
              </w:tc>
              <w:tc>
                <w:tcPr>
                  <w:tcW w:w="443"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112</w:t>
                  </w:r>
                </w:p>
              </w:tc>
            </w:tr>
          </w:tbl>
          <w:tbl>
            <w:tblPr>
              <w:tblStyle w:val="19"/>
              <w:tblW w:w="5000" w:type="pct"/>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29"/>
              <w:gridCol w:w="1579"/>
              <w:gridCol w:w="3829"/>
              <w:gridCol w:w="2735"/>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PrEx>
              <w:tc>
                <w:tcPr>
                  <w:tcW w:w="512" w:type="pct"/>
                  <w:vMerge w:val="restart"/>
                  <w:tcBorders>
                    <w:tl2br w:val="nil"/>
                    <w:tr2bl w:val="nil"/>
                  </w:tcBorders>
                  <w:vAlign w:val="center"/>
                </w:tcPr>
                <w:p>
                  <w:pPr>
                    <w:pStyle w:val="27"/>
                    <w:spacing w:line="320" w:lineRule="exact"/>
                    <w:ind w:firstLine="0" w:firstLineChars="0"/>
                    <w:jc w:val="center"/>
                    <w:rPr>
                      <w:rFonts w:ascii="Times New Roman" w:hAnsi="Times New Roman" w:cs="Times New Roman"/>
                      <w:color w:val="auto"/>
                      <w:sz w:val="21"/>
                      <w:szCs w:val="21"/>
                    </w:rPr>
                  </w:pPr>
                  <w:r>
                    <w:rPr>
                      <w:rFonts w:ascii="Times New Roman" w:hAnsi="Times New Roman" w:cs="Times New Roman"/>
                      <w:bCs/>
                      <w:color w:val="auto"/>
                      <w:sz w:val="21"/>
                      <w:szCs w:val="21"/>
                    </w:rPr>
                    <w:t>检测项目</w:t>
                  </w:r>
                </w:p>
              </w:tc>
              <w:tc>
                <w:tcPr>
                  <w:tcW w:w="4487" w:type="pct"/>
                  <w:gridSpan w:val="3"/>
                  <w:tcBorders>
                    <w:tl2br w:val="nil"/>
                    <w:tr2bl w:val="nil"/>
                  </w:tcBorders>
                  <w:vAlign w:val="center"/>
                </w:tcPr>
                <w:p>
                  <w:pPr>
                    <w:pStyle w:val="27"/>
                    <w:spacing w:line="320" w:lineRule="exact"/>
                    <w:ind w:firstLine="0" w:firstLineChars="0"/>
                    <w:jc w:val="center"/>
                    <w:rPr>
                      <w:rFonts w:ascii="Times New Roman" w:hAnsi="Times New Roman" w:cs="Times New Roman"/>
                      <w:bCs/>
                      <w:color w:val="auto"/>
                      <w:szCs w:val="21"/>
                    </w:rPr>
                  </w:pPr>
                  <w:r>
                    <w:rPr>
                      <w:rFonts w:ascii="Times New Roman" w:hAnsi="Times New Roman" w:eastAsia="宋体" w:cs="Times New Roman"/>
                      <w:bCs/>
                      <w:color w:val="auto"/>
                      <w:sz w:val="21"/>
                      <w:szCs w:val="21"/>
                    </w:rPr>
                    <w:t>上料混料排气筒</w:t>
                  </w:r>
                  <w:r>
                    <w:rPr>
                      <w:rFonts w:ascii="Times New Roman" w:hAnsi="Times New Roman" w:cs="Times New Roman"/>
                      <w:bCs/>
                      <w:color w:val="auto"/>
                      <w:sz w:val="21"/>
                      <w:szCs w:val="21"/>
                    </w:rPr>
                    <w:t>检</w:t>
                  </w:r>
                  <w:r>
                    <w:rPr>
                      <w:rFonts w:ascii="Times New Roman" w:hAnsi="Times New Roman" w:eastAsia="宋体" w:cs="Times New Roman"/>
                      <w:bCs/>
                      <w:color w:val="auto"/>
                      <w:sz w:val="21"/>
                      <w:szCs w:val="21"/>
                    </w:rPr>
                    <w:t>测结果</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12" w:type="pct"/>
                  <w:vMerge w:val="continue"/>
                  <w:tcBorders>
                    <w:tl2br w:val="nil"/>
                    <w:tr2bl w:val="nil"/>
                  </w:tcBorders>
                  <w:vAlign w:val="center"/>
                </w:tcPr>
                <w:p>
                  <w:pPr>
                    <w:pStyle w:val="27"/>
                    <w:spacing w:line="320" w:lineRule="exact"/>
                    <w:ind w:firstLine="0" w:firstLineChars="0"/>
                    <w:jc w:val="center"/>
                    <w:rPr>
                      <w:rFonts w:ascii="Times New Roman" w:hAnsi="Times New Roman" w:cs="Times New Roman"/>
                      <w:color w:val="auto"/>
                      <w:sz w:val="21"/>
                      <w:szCs w:val="21"/>
                    </w:rPr>
                  </w:pPr>
                </w:p>
              </w:tc>
              <w:tc>
                <w:tcPr>
                  <w:tcW w:w="870"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检测时间</w:t>
                  </w:r>
                </w:p>
              </w:tc>
              <w:tc>
                <w:tcPr>
                  <w:tcW w:w="3617"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2023.05.18</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12" w:type="pct"/>
                  <w:vMerge w:val="continue"/>
                  <w:tcBorders>
                    <w:tl2br w:val="nil"/>
                    <w:tr2bl w:val="nil"/>
                  </w:tcBorders>
                  <w:vAlign w:val="center"/>
                </w:tcPr>
                <w:p>
                  <w:pPr>
                    <w:pStyle w:val="27"/>
                    <w:spacing w:line="320" w:lineRule="exact"/>
                    <w:ind w:firstLine="0" w:firstLineChars="0"/>
                    <w:jc w:val="center"/>
                    <w:rPr>
                      <w:rFonts w:ascii="Times New Roman" w:hAnsi="Times New Roman" w:cs="Times New Roman"/>
                      <w:color w:val="auto"/>
                      <w:sz w:val="21"/>
                      <w:szCs w:val="21"/>
                    </w:rPr>
                  </w:pPr>
                </w:p>
              </w:tc>
              <w:tc>
                <w:tcPr>
                  <w:tcW w:w="870" w:type="pct"/>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样品编号</w:t>
                  </w:r>
                </w:p>
              </w:tc>
              <w:tc>
                <w:tcPr>
                  <w:tcW w:w="3617"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颗粒物(mg/m³)</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8" w:hRule="atLeast"/>
              </w:trPr>
              <w:tc>
                <w:tcPr>
                  <w:tcW w:w="512" w:type="pct"/>
                  <w:vMerge w:val="continue"/>
                  <w:tcBorders>
                    <w:tl2br w:val="nil"/>
                    <w:tr2bl w:val="nil"/>
                  </w:tcBorders>
                  <w:vAlign w:val="center"/>
                </w:tcPr>
                <w:p>
                  <w:pPr>
                    <w:pStyle w:val="27"/>
                    <w:spacing w:line="320" w:lineRule="exact"/>
                    <w:ind w:firstLine="0" w:firstLineChars="0"/>
                    <w:jc w:val="center"/>
                    <w:rPr>
                      <w:rFonts w:ascii="Times New Roman" w:hAnsi="Times New Roman" w:cs="Times New Roman"/>
                      <w:color w:val="auto"/>
                      <w:sz w:val="21"/>
                      <w:szCs w:val="21"/>
                    </w:rPr>
                  </w:pPr>
                </w:p>
              </w:tc>
              <w:tc>
                <w:tcPr>
                  <w:tcW w:w="870"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2110"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1506"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12" w:type="pct"/>
                  <w:vMerge w:val="restart"/>
                  <w:tcBorders>
                    <w:tl2br w:val="nil"/>
                    <w:tr2bl w:val="nil"/>
                  </w:tcBorders>
                  <w:vAlign w:val="center"/>
                </w:tcPr>
                <w:p>
                  <w:pPr>
                    <w:pStyle w:val="27"/>
                    <w:spacing w:line="320" w:lineRule="exact"/>
                    <w:ind w:firstLine="0" w:firstLineChars="0"/>
                    <w:jc w:val="center"/>
                    <w:rPr>
                      <w:rFonts w:ascii="Times New Roman" w:hAnsi="Times New Roman" w:cs="Times New Roman"/>
                      <w:color w:val="auto"/>
                      <w:sz w:val="21"/>
                      <w:szCs w:val="21"/>
                    </w:rPr>
                  </w:pPr>
                  <w:r>
                    <w:rPr>
                      <w:rFonts w:ascii="Times New Roman" w:hAnsi="Times New Roman" w:eastAsia="宋体" w:cs="Times New Roman"/>
                      <w:color w:val="auto"/>
                      <w:sz w:val="21"/>
                      <w:szCs w:val="21"/>
                    </w:rPr>
                    <w:t>有组织废气</w:t>
                  </w:r>
                </w:p>
              </w:tc>
              <w:tc>
                <w:tcPr>
                  <w:tcW w:w="870"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F230518E01</w:t>
                  </w:r>
                </w:p>
              </w:tc>
              <w:tc>
                <w:tcPr>
                  <w:tcW w:w="2110"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3.2</w:t>
                  </w:r>
                </w:p>
              </w:tc>
              <w:tc>
                <w:tcPr>
                  <w:tcW w:w="1506"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3.4</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12" w:type="pct"/>
                  <w:vMerge w:val="continue"/>
                  <w:tcBorders>
                    <w:tl2br w:val="nil"/>
                    <w:tr2bl w:val="nil"/>
                  </w:tcBorders>
                  <w:vAlign w:val="center"/>
                </w:tcPr>
                <w:p>
                  <w:pPr>
                    <w:pStyle w:val="27"/>
                    <w:spacing w:line="320" w:lineRule="exact"/>
                    <w:ind w:firstLine="0" w:firstLineChars="0"/>
                    <w:jc w:val="center"/>
                    <w:rPr>
                      <w:rFonts w:ascii="Times New Roman" w:hAnsi="Times New Roman" w:cs="Times New Roman"/>
                      <w:color w:val="auto"/>
                      <w:sz w:val="21"/>
                      <w:szCs w:val="21"/>
                    </w:rPr>
                  </w:pPr>
                </w:p>
              </w:tc>
              <w:tc>
                <w:tcPr>
                  <w:tcW w:w="870"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F230518E02</w:t>
                  </w:r>
                </w:p>
              </w:tc>
              <w:tc>
                <w:tcPr>
                  <w:tcW w:w="2110"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2.8</w:t>
                  </w:r>
                </w:p>
              </w:tc>
              <w:tc>
                <w:tcPr>
                  <w:tcW w:w="1506"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3.0</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12" w:type="pct"/>
                  <w:vMerge w:val="continue"/>
                  <w:tcBorders>
                    <w:tl2br w:val="nil"/>
                    <w:tr2bl w:val="nil"/>
                  </w:tcBorders>
                  <w:vAlign w:val="center"/>
                </w:tcPr>
                <w:p>
                  <w:pPr>
                    <w:pStyle w:val="27"/>
                    <w:spacing w:line="320" w:lineRule="exact"/>
                    <w:ind w:firstLine="0" w:firstLineChars="0"/>
                    <w:jc w:val="center"/>
                    <w:rPr>
                      <w:rFonts w:ascii="Times New Roman" w:hAnsi="Times New Roman" w:cs="Times New Roman"/>
                      <w:color w:val="auto"/>
                      <w:sz w:val="21"/>
                      <w:szCs w:val="21"/>
                    </w:rPr>
                  </w:pPr>
                </w:p>
              </w:tc>
              <w:tc>
                <w:tcPr>
                  <w:tcW w:w="870"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F230518E03</w:t>
                  </w:r>
                </w:p>
              </w:tc>
              <w:tc>
                <w:tcPr>
                  <w:tcW w:w="2110"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3.1</w:t>
                  </w:r>
                </w:p>
              </w:tc>
              <w:tc>
                <w:tcPr>
                  <w:tcW w:w="1506"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3.3</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12" w:type="pct"/>
                  <w:vMerge w:val="continue"/>
                  <w:tcBorders>
                    <w:tl2br w:val="nil"/>
                    <w:tr2bl w:val="nil"/>
                  </w:tcBorders>
                  <w:vAlign w:val="center"/>
                </w:tcPr>
                <w:p>
                  <w:pPr>
                    <w:pStyle w:val="27"/>
                    <w:spacing w:line="320" w:lineRule="exact"/>
                    <w:ind w:firstLine="0" w:firstLineChars="0"/>
                    <w:jc w:val="center"/>
                    <w:rPr>
                      <w:rFonts w:ascii="Times New Roman" w:hAnsi="Times New Roman" w:cs="Times New Roman"/>
                      <w:color w:val="auto"/>
                      <w:sz w:val="21"/>
                      <w:szCs w:val="21"/>
                    </w:rPr>
                  </w:pPr>
                </w:p>
              </w:tc>
              <w:tc>
                <w:tcPr>
                  <w:tcW w:w="870"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检测时间</w:t>
                  </w:r>
                </w:p>
              </w:tc>
              <w:tc>
                <w:tcPr>
                  <w:tcW w:w="3617"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2023.05.19</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12" w:type="pct"/>
                  <w:vMerge w:val="continue"/>
                  <w:tcBorders>
                    <w:tl2br w:val="nil"/>
                    <w:tr2bl w:val="nil"/>
                  </w:tcBorders>
                  <w:vAlign w:val="center"/>
                </w:tcPr>
                <w:p>
                  <w:pPr>
                    <w:pStyle w:val="27"/>
                    <w:spacing w:line="320" w:lineRule="exact"/>
                    <w:ind w:firstLine="0" w:firstLineChars="0"/>
                    <w:jc w:val="center"/>
                    <w:rPr>
                      <w:rFonts w:ascii="Times New Roman" w:hAnsi="Times New Roman" w:cs="Times New Roman"/>
                      <w:color w:val="auto"/>
                      <w:sz w:val="21"/>
                      <w:szCs w:val="21"/>
                    </w:rPr>
                  </w:pPr>
                </w:p>
              </w:tc>
              <w:tc>
                <w:tcPr>
                  <w:tcW w:w="870" w:type="pct"/>
                  <w:vMerge w:val="restar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样品编号</w:t>
                  </w:r>
                </w:p>
              </w:tc>
              <w:tc>
                <w:tcPr>
                  <w:tcW w:w="3617" w:type="pct"/>
                  <w:gridSpan w:val="2"/>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颗粒物(mg/m³)</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12" w:type="pct"/>
                  <w:vMerge w:val="continue"/>
                  <w:tcBorders>
                    <w:tl2br w:val="nil"/>
                    <w:tr2bl w:val="nil"/>
                  </w:tcBorders>
                  <w:vAlign w:val="center"/>
                </w:tcPr>
                <w:p>
                  <w:pPr>
                    <w:pStyle w:val="27"/>
                    <w:spacing w:line="320" w:lineRule="exact"/>
                    <w:ind w:firstLine="0" w:firstLineChars="0"/>
                    <w:jc w:val="center"/>
                    <w:rPr>
                      <w:rFonts w:ascii="Times New Roman" w:hAnsi="Times New Roman" w:cs="Times New Roman"/>
                      <w:color w:val="auto"/>
                      <w:sz w:val="21"/>
                      <w:szCs w:val="21"/>
                    </w:rPr>
                  </w:pPr>
                </w:p>
              </w:tc>
              <w:tc>
                <w:tcPr>
                  <w:tcW w:w="870" w:type="pct"/>
                  <w:vMerge w:val="continue"/>
                  <w:tcBorders>
                    <w:tl2br w:val="nil"/>
                    <w:tr2bl w:val="nil"/>
                  </w:tcBorders>
                  <w:vAlign w:val="center"/>
                </w:tcPr>
                <w:p>
                  <w:pPr>
                    <w:spacing w:line="320" w:lineRule="exact"/>
                    <w:jc w:val="center"/>
                    <w:rPr>
                      <w:rFonts w:ascii="Times New Roman" w:hAnsi="Times New Roman" w:cs="Times New Roman"/>
                      <w:szCs w:val="21"/>
                    </w:rPr>
                  </w:pPr>
                </w:p>
              </w:tc>
              <w:tc>
                <w:tcPr>
                  <w:tcW w:w="2110"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实测值</w:t>
                  </w:r>
                </w:p>
              </w:tc>
              <w:tc>
                <w:tcPr>
                  <w:tcW w:w="1506"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折算值</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6" w:hRule="atLeast"/>
              </w:trPr>
              <w:tc>
                <w:tcPr>
                  <w:tcW w:w="512" w:type="pct"/>
                  <w:vMerge w:val="continue"/>
                  <w:tcBorders>
                    <w:tl2br w:val="nil"/>
                    <w:tr2bl w:val="nil"/>
                  </w:tcBorders>
                  <w:vAlign w:val="center"/>
                </w:tcPr>
                <w:p>
                  <w:pPr>
                    <w:pStyle w:val="27"/>
                    <w:spacing w:line="320" w:lineRule="exact"/>
                    <w:ind w:firstLine="0" w:firstLineChars="0"/>
                    <w:jc w:val="center"/>
                    <w:rPr>
                      <w:rFonts w:ascii="Times New Roman" w:hAnsi="Times New Roman" w:cs="Times New Roman"/>
                      <w:color w:val="auto"/>
                      <w:sz w:val="21"/>
                      <w:szCs w:val="21"/>
                    </w:rPr>
                  </w:pPr>
                </w:p>
              </w:tc>
              <w:tc>
                <w:tcPr>
                  <w:tcW w:w="870"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F230519E01</w:t>
                  </w:r>
                </w:p>
              </w:tc>
              <w:tc>
                <w:tcPr>
                  <w:tcW w:w="2110"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3.2</w:t>
                  </w:r>
                </w:p>
              </w:tc>
              <w:tc>
                <w:tcPr>
                  <w:tcW w:w="1506"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3.4</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12" w:type="pct"/>
                  <w:vMerge w:val="continue"/>
                  <w:tcBorders>
                    <w:tl2br w:val="nil"/>
                    <w:tr2bl w:val="nil"/>
                  </w:tcBorders>
                  <w:vAlign w:val="center"/>
                </w:tcPr>
                <w:p>
                  <w:pPr>
                    <w:pStyle w:val="27"/>
                    <w:spacing w:line="320" w:lineRule="exact"/>
                    <w:ind w:firstLine="0" w:firstLineChars="0"/>
                    <w:jc w:val="center"/>
                    <w:rPr>
                      <w:rFonts w:ascii="Times New Roman" w:hAnsi="Times New Roman" w:cs="Times New Roman"/>
                      <w:color w:val="auto"/>
                      <w:sz w:val="21"/>
                      <w:szCs w:val="21"/>
                    </w:rPr>
                  </w:pPr>
                </w:p>
              </w:tc>
              <w:tc>
                <w:tcPr>
                  <w:tcW w:w="870"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F230519E02</w:t>
                  </w:r>
                </w:p>
              </w:tc>
              <w:tc>
                <w:tcPr>
                  <w:tcW w:w="2110"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3.0</w:t>
                  </w:r>
                </w:p>
              </w:tc>
              <w:tc>
                <w:tcPr>
                  <w:tcW w:w="1506"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3.2</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12" w:type="pct"/>
                  <w:vMerge w:val="continue"/>
                  <w:tcBorders>
                    <w:tl2br w:val="nil"/>
                    <w:tr2bl w:val="nil"/>
                  </w:tcBorders>
                  <w:vAlign w:val="center"/>
                </w:tcPr>
                <w:p>
                  <w:pPr>
                    <w:pStyle w:val="27"/>
                    <w:spacing w:line="320" w:lineRule="exact"/>
                    <w:ind w:firstLine="0" w:firstLineChars="0"/>
                    <w:jc w:val="center"/>
                    <w:rPr>
                      <w:rFonts w:ascii="Times New Roman" w:hAnsi="Times New Roman" w:cs="Times New Roman"/>
                      <w:color w:val="auto"/>
                      <w:sz w:val="21"/>
                      <w:szCs w:val="21"/>
                    </w:rPr>
                  </w:pPr>
                </w:p>
              </w:tc>
              <w:tc>
                <w:tcPr>
                  <w:tcW w:w="870"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F230519E03</w:t>
                  </w:r>
                </w:p>
              </w:tc>
              <w:tc>
                <w:tcPr>
                  <w:tcW w:w="2110"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3.0</w:t>
                  </w:r>
                </w:p>
              </w:tc>
              <w:tc>
                <w:tcPr>
                  <w:tcW w:w="1506" w:type="pct"/>
                  <w:tcBorders>
                    <w:tl2br w:val="nil"/>
                    <w:tr2bl w:val="nil"/>
                  </w:tcBorders>
                  <w:vAlign w:val="center"/>
                </w:tcPr>
                <w:p>
                  <w:pPr>
                    <w:spacing w:line="320" w:lineRule="exact"/>
                    <w:jc w:val="center"/>
                    <w:rPr>
                      <w:rFonts w:ascii="Times New Roman" w:hAnsi="Times New Roman" w:cs="Times New Roman"/>
                      <w:szCs w:val="21"/>
                    </w:rPr>
                  </w:pPr>
                  <w:r>
                    <w:rPr>
                      <w:rFonts w:ascii="Times New Roman" w:hAnsi="Times New Roman" w:eastAsia="宋体" w:cs="Times New Roman"/>
                      <w:szCs w:val="21"/>
                    </w:rPr>
                    <w:t>3.2</w:t>
                  </w:r>
                </w:p>
              </w:tc>
            </w:tr>
          </w:tbl>
          <w:tbl>
            <w:tblPr>
              <w:tblStyle w:val="18"/>
              <w:tblW w:w="5000" w:type="pct"/>
              <w:jc w:val="center"/>
              <w:tblBorders>
                <w:top w:val="single" w:color="auto" w:sz="12" w:space="0"/>
                <w:left w:val="none" w:color="auto" w:sz="6" w:space="0"/>
                <w:bottom w:val="single" w:color="auto" w:sz="12" w:space="0"/>
                <w:right w:val="none" w:color="auto" w:sz="6" w:space="0"/>
                <w:insideH w:val="single" w:color="auto" w:sz="2" w:space="0"/>
                <w:insideV w:val="single" w:color="auto" w:sz="2" w:space="0"/>
              </w:tblBorders>
              <w:shd w:val="clear"/>
              <w:tblLayout w:type="autofit"/>
              <w:tblCellMar>
                <w:top w:w="0" w:type="dxa"/>
                <w:left w:w="0" w:type="dxa"/>
                <w:bottom w:w="0" w:type="dxa"/>
                <w:right w:w="0" w:type="dxa"/>
              </w:tblCellMar>
            </w:tblPr>
            <w:tblGrid>
              <w:gridCol w:w="1506"/>
              <w:gridCol w:w="1672"/>
              <w:gridCol w:w="1180"/>
              <w:gridCol w:w="923"/>
              <w:gridCol w:w="979"/>
              <w:gridCol w:w="972"/>
              <w:gridCol w:w="932"/>
              <w:gridCol w:w="908"/>
            </w:tblGrid>
            <w:tr>
              <w:tblPrEx>
                <w:tblBorders>
                  <w:top w:val="single" w:color="auto" w:sz="12" w:space="0"/>
                  <w:left w:val="none" w:color="auto" w:sz="6" w:space="0"/>
                  <w:bottom w:val="single" w:color="auto" w:sz="12" w:space="0"/>
                  <w:right w:val="none" w:color="auto" w:sz="6" w:space="0"/>
                  <w:insideH w:val="single" w:color="auto" w:sz="2" w:space="0"/>
                  <w:insideV w:val="single" w:color="auto" w:sz="2" w:space="0"/>
                </w:tblBorders>
                <w:shd w:val="clear"/>
                <w:tblCellMar>
                  <w:top w:w="0" w:type="dxa"/>
                  <w:left w:w="0" w:type="dxa"/>
                  <w:bottom w:w="0" w:type="dxa"/>
                  <w:right w:w="0" w:type="dxa"/>
                </w:tblCellMar>
              </w:tblPrEx>
              <w:trPr>
                <w:wAfter w:w="192" w:type="pct"/>
                <w:trHeight w:val="395" w:hRule="atLeast"/>
                <w:jc w:val="center"/>
              </w:trPr>
              <w:tc>
                <w:tcPr>
                  <w:tcW w:w="798" w:type="pct"/>
                  <w:vMerge w:val="restart"/>
                  <w:tcBorders>
                    <w:top w:val="single" w:color="auto" w:sz="12" w:space="0"/>
                    <w:left w:val="nil"/>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line="320" w:lineRule="exact"/>
                    <w:ind w:left="0" w:right="0"/>
                    <w:jc w:val="center"/>
                    <w:rPr>
                      <w:b/>
                      <w:bCs/>
                      <w:color w:val="auto"/>
                      <w:szCs w:val="21"/>
                      <w:bdr w:val="none" w:color="auto" w:sz="0" w:space="0"/>
                      <w:lang w:val="en-US"/>
                    </w:rPr>
                  </w:pPr>
                  <w:r>
                    <w:rPr>
                      <w:rFonts w:hint="eastAsia" w:ascii="Times New Roman" w:hAnsi="Times New Roman" w:eastAsia="宋体" w:cs="宋体"/>
                      <w:b/>
                      <w:bCs/>
                      <w:color w:val="auto"/>
                      <w:kern w:val="2"/>
                      <w:sz w:val="21"/>
                      <w:szCs w:val="21"/>
                      <w:bdr w:val="none" w:color="auto" w:sz="0" w:space="0"/>
                      <w:lang w:val="en-US" w:eastAsia="zh-CN" w:bidi="ar"/>
                    </w:rPr>
                    <w:t>检测项目</w:t>
                  </w:r>
                </w:p>
              </w:tc>
              <w:tc>
                <w:tcPr>
                  <w:tcW w:w="4009" w:type="pct"/>
                  <w:gridSpan w:val="7"/>
                  <w:tcBorders>
                    <w:top w:val="single" w:color="auto" w:sz="12" w:space="0"/>
                    <w:left w:val="single" w:color="auto" w:sz="2" w:space="0"/>
                    <w:bottom w:val="single" w:color="auto" w:sz="2" w:space="0"/>
                    <w:right w:val="nil"/>
                  </w:tcBorders>
                  <w:shd w:val="clear"/>
                  <w:vAlign w:val="center"/>
                </w:tcPr>
                <w:p>
                  <w:pPr>
                    <w:keepNext w:val="0"/>
                    <w:keepLines w:val="0"/>
                    <w:widowControl w:val="0"/>
                    <w:suppressLineNumbers w:val="0"/>
                    <w:spacing w:before="0" w:beforeAutospacing="0" w:after="0" w:afterAutospacing="0" w:line="320" w:lineRule="exact"/>
                    <w:ind w:left="0" w:right="0"/>
                    <w:jc w:val="center"/>
                    <w:rPr>
                      <w:b/>
                      <w:bCs/>
                      <w:color w:val="auto"/>
                      <w:szCs w:val="21"/>
                      <w:bdr w:val="none" w:color="auto" w:sz="0" w:space="0"/>
                      <w:lang w:val="en-US"/>
                    </w:rPr>
                  </w:pPr>
                  <w:r>
                    <w:rPr>
                      <w:rFonts w:hint="eastAsia" w:ascii="Times New Roman" w:hAnsi="Times New Roman" w:eastAsia="宋体" w:cs="宋体"/>
                      <w:b/>
                      <w:bCs/>
                      <w:color w:val="auto"/>
                      <w:kern w:val="2"/>
                      <w:sz w:val="21"/>
                      <w:szCs w:val="21"/>
                      <w:bdr w:val="none" w:color="auto" w:sz="0" w:space="0"/>
                      <w:lang w:val="en-US" w:eastAsia="zh-CN" w:bidi="ar"/>
                    </w:rPr>
                    <w:t>生产废气排气筒检测结果</w:t>
                  </w:r>
                </w:p>
              </w:tc>
            </w:tr>
            <w:tr>
              <w:tblPrEx>
                <w:tblBorders>
                  <w:top w:val="single" w:color="auto" w:sz="12" w:space="0"/>
                  <w:left w:val="none" w:color="auto" w:sz="6" w:space="0"/>
                  <w:bottom w:val="single" w:color="auto" w:sz="12" w:space="0"/>
                  <w:right w:val="none" w:color="auto" w:sz="6" w:space="0"/>
                  <w:insideH w:val="single" w:color="auto" w:sz="2" w:space="0"/>
                  <w:insideV w:val="single" w:color="auto" w:sz="2" w:space="0"/>
                </w:tblBorders>
                <w:shd w:val="clear"/>
                <w:tblCellMar>
                  <w:top w:w="0" w:type="dxa"/>
                  <w:left w:w="0" w:type="dxa"/>
                  <w:bottom w:w="0" w:type="dxa"/>
                  <w:right w:w="0" w:type="dxa"/>
                </w:tblCellMar>
              </w:tblPrEx>
              <w:trPr>
                <w:wAfter w:w="192" w:type="pct"/>
                <w:trHeight w:val="391" w:hRule="atLeast"/>
                <w:jc w:val="center"/>
              </w:trPr>
              <w:tc>
                <w:tcPr>
                  <w:tcW w:w="798" w:type="pct"/>
                  <w:vMerge w:val="continue"/>
                  <w:tcBorders>
                    <w:top w:val="single" w:color="auto" w:sz="12" w:space="0"/>
                    <w:left w:val="nil"/>
                    <w:bottom w:val="single" w:color="auto" w:sz="2" w:space="0"/>
                    <w:right w:val="single" w:color="auto" w:sz="2" w:space="0"/>
                  </w:tcBorders>
                  <w:shd w:val="clear"/>
                  <w:vAlign w:val="center"/>
                </w:tcPr>
                <w:p>
                  <w:pPr>
                    <w:rPr>
                      <w:rFonts w:hint="default" w:ascii="Calibri" w:hAnsi="Calibri" w:eastAsia="宋体" w:cs="Times New Roman"/>
                      <w:color w:val="auto"/>
                      <w:kern w:val="2"/>
                      <w:sz w:val="21"/>
                      <w:szCs w:val="22"/>
                    </w:rPr>
                  </w:pPr>
                </w:p>
              </w:tc>
              <w:tc>
                <w:tcPr>
                  <w:tcW w:w="886"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检测时间</w:t>
                  </w:r>
                </w:p>
              </w:tc>
              <w:tc>
                <w:tcPr>
                  <w:tcW w:w="3122" w:type="pct"/>
                  <w:gridSpan w:val="6"/>
                  <w:tcBorders>
                    <w:top w:val="single" w:color="auto" w:sz="2" w:space="0"/>
                    <w:left w:val="single" w:color="auto" w:sz="2" w:space="0"/>
                    <w:bottom w:val="single" w:color="auto" w:sz="2" w:space="0"/>
                    <w:right w:val="nil"/>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2023.05.18</w:t>
                  </w:r>
                </w:p>
              </w:tc>
            </w:tr>
            <w:tr>
              <w:tblPrEx>
                <w:tblBorders>
                  <w:top w:val="single" w:color="auto" w:sz="12" w:space="0"/>
                  <w:left w:val="none" w:color="auto" w:sz="6" w:space="0"/>
                  <w:bottom w:val="single" w:color="auto" w:sz="12" w:space="0"/>
                  <w:right w:val="none" w:color="auto" w:sz="6" w:space="0"/>
                  <w:insideH w:val="single" w:color="auto" w:sz="2" w:space="0"/>
                  <w:insideV w:val="single" w:color="auto" w:sz="2" w:space="0"/>
                </w:tblBorders>
                <w:shd w:val="clear"/>
                <w:tblCellMar>
                  <w:top w:w="0" w:type="dxa"/>
                  <w:left w:w="0" w:type="dxa"/>
                  <w:bottom w:w="0" w:type="dxa"/>
                  <w:right w:w="0" w:type="dxa"/>
                </w:tblCellMar>
              </w:tblPrEx>
              <w:trPr>
                <w:wAfter w:w="192" w:type="pct"/>
                <w:trHeight w:val="500" w:hRule="atLeast"/>
                <w:jc w:val="center"/>
              </w:trPr>
              <w:tc>
                <w:tcPr>
                  <w:tcW w:w="798" w:type="pct"/>
                  <w:vMerge w:val="continue"/>
                  <w:tcBorders>
                    <w:top w:val="single" w:color="auto" w:sz="12" w:space="0"/>
                    <w:left w:val="nil"/>
                    <w:bottom w:val="single" w:color="auto" w:sz="2" w:space="0"/>
                    <w:right w:val="single" w:color="auto" w:sz="2" w:space="0"/>
                  </w:tcBorders>
                  <w:shd w:val="clear"/>
                  <w:vAlign w:val="center"/>
                </w:tcPr>
                <w:p>
                  <w:pPr>
                    <w:rPr>
                      <w:rFonts w:hint="default" w:ascii="Calibri" w:hAnsi="Calibri" w:eastAsia="宋体" w:cs="Times New Roman"/>
                      <w:color w:val="auto"/>
                      <w:kern w:val="2"/>
                      <w:sz w:val="21"/>
                      <w:szCs w:val="22"/>
                    </w:rPr>
                  </w:pPr>
                </w:p>
              </w:tc>
              <w:tc>
                <w:tcPr>
                  <w:tcW w:w="886" w:type="pct"/>
                  <w:vMerge w:val="restar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标杆流量</w:t>
                  </w:r>
                </w:p>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w:t>
                  </w:r>
                  <w:r>
                    <w:rPr>
                      <w:rFonts w:hint="default" w:ascii="Times New Roman" w:hAnsi="Times New Roman" w:eastAsia="宋体" w:cs="Times New Roman"/>
                      <w:color w:val="auto"/>
                      <w:kern w:val="2"/>
                      <w:sz w:val="21"/>
                      <w:szCs w:val="21"/>
                      <w:bdr w:val="none" w:color="auto" w:sz="0" w:space="0"/>
                      <w:lang w:val="en-US" w:eastAsia="zh-CN" w:bidi="ar"/>
                    </w:rPr>
                    <w:t>Nm³/h</w:t>
                  </w:r>
                  <w:r>
                    <w:rPr>
                      <w:rFonts w:hint="eastAsia" w:ascii="Times New Roman" w:hAnsi="Times New Roman" w:eastAsia="宋体" w:cs="宋体"/>
                      <w:color w:val="auto"/>
                      <w:kern w:val="2"/>
                      <w:sz w:val="21"/>
                      <w:szCs w:val="21"/>
                      <w:bdr w:val="none" w:color="auto" w:sz="0" w:space="0"/>
                      <w:lang w:val="en-US" w:eastAsia="zh-CN" w:bidi="ar"/>
                    </w:rPr>
                    <w:t>）</w:t>
                  </w:r>
                </w:p>
              </w:tc>
              <w:tc>
                <w:tcPr>
                  <w:tcW w:w="1114" w:type="pct"/>
                  <w:gridSpan w:val="2"/>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颗粒物</w:t>
                  </w:r>
                  <w:r>
                    <w:rPr>
                      <w:rFonts w:hint="default" w:ascii="Times New Roman" w:hAnsi="Times New Roman" w:eastAsia="宋体" w:cs="Times New Roman"/>
                      <w:color w:val="auto"/>
                      <w:kern w:val="2"/>
                      <w:sz w:val="21"/>
                      <w:szCs w:val="21"/>
                      <w:bdr w:val="none" w:color="auto" w:sz="0" w:space="0"/>
                      <w:lang w:val="en-US" w:eastAsia="zh-CN" w:bidi="ar"/>
                    </w:rPr>
                    <w:t>(mg/m³)</w:t>
                  </w:r>
                </w:p>
              </w:tc>
              <w:tc>
                <w:tcPr>
                  <w:tcW w:w="1034" w:type="pct"/>
                  <w:gridSpan w:val="2"/>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沥青烟</w:t>
                  </w:r>
                  <w:r>
                    <w:rPr>
                      <w:rFonts w:hint="default" w:ascii="Times New Roman" w:hAnsi="Times New Roman" w:eastAsia="宋体" w:cs="Times New Roman"/>
                      <w:color w:val="auto"/>
                      <w:kern w:val="2"/>
                      <w:sz w:val="21"/>
                      <w:szCs w:val="21"/>
                      <w:bdr w:val="none" w:color="auto" w:sz="0" w:space="0"/>
                      <w:lang w:val="en-US" w:eastAsia="zh-CN" w:bidi="ar"/>
                    </w:rPr>
                    <w:t>(ng/m</w:t>
                  </w:r>
                  <w:r>
                    <w:rPr>
                      <w:rFonts w:hint="eastAsia" w:ascii="Times New Roman" w:hAnsi="Times New Roman" w:eastAsia="宋体" w:cs="宋体"/>
                      <w:color w:val="auto"/>
                      <w:kern w:val="2"/>
                      <w:sz w:val="21"/>
                      <w:szCs w:val="21"/>
                      <w:bdr w:val="none" w:color="auto" w:sz="0" w:space="0"/>
                      <w:lang w:val="en-US" w:eastAsia="zh-CN" w:bidi="ar"/>
                    </w:rPr>
                    <w:t>³</w:t>
                  </w:r>
                  <w:r>
                    <w:rPr>
                      <w:rFonts w:hint="default" w:ascii="Times New Roman" w:hAnsi="Times New Roman" w:eastAsia="宋体" w:cs="Times New Roman"/>
                      <w:color w:val="auto"/>
                      <w:kern w:val="2"/>
                      <w:sz w:val="21"/>
                      <w:szCs w:val="21"/>
                      <w:bdr w:val="none" w:color="auto" w:sz="0" w:space="0"/>
                      <w:lang w:val="en-US" w:eastAsia="zh-CN" w:bidi="ar"/>
                    </w:rPr>
                    <w:t>)</w:t>
                  </w:r>
                </w:p>
              </w:tc>
              <w:tc>
                <w:tcPr>
                  <w:tcW w:w="973" w:type="pct"/>
                  <w:gridSpan w:val="2"/>
                  <w:tcBorders>
                    <w:top w:val="single" w:color="auto" w:sz="2" w:space="0"/>
                    <w:left w:val="single" w:color="auto" w:sz="2" w:space="0"/>
                    <w:bottom w:val="single" w:color="auto" w:sz="2" w:space="0"/>
                    <w:right w:val="nil"/>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 xml:space="preserve"> </w:t>
                  </w:r>
                  <w:r>
                    <w:rPr>
                      <w:rFonts w:hint="eastAsia" w:ascii="Times New Roman" w:hAnsi="宋体" w:eastAsia="宋体" w:cs="宋体"/>
                      <w:color w:val="auto"/>
                      <w:kern w:val="2"/>
                      <w:sz w:val="21"/>
                      <w:szCs w:val="21"/>
                      <w:bdr w:val="none" w:color="auto" w:sz="0" w:space="0"/>
                      <w:lang w:val="en-US" w:eastAsia="zh-CN" w:bidi="ar"/>
                    </w:rPr>
                    <w:t>苯并（</w:t>
                  </w:r>
                  <w:r>
                    <w:rPr>
                      <w:rFonts w:hint="default" w:ascii="Times New Roman" w:hAnsi="宋体" w:eastAsia="宋体" w:cs="Times New Roman"/>
                      <w:color w:val="auto"/>
                      <w:kern w:val="2"/>
                      <w:sz w:val="21"/>
                      <w:szCs w:val="21"/>
                      <w:bdr w:val="none" w:color="auto" w:sz="0" w:space="0"/>
                      <w:lang w:val="en-US" w:eastAsia="zh-CN" w:bidi="ar"/>
                    </w:rPr>
                    <w:t>a</w:t>
                  </w:r>
                  <w:r>
                    <w:rPr>
                      <w:rFonts w:hint="eastAsia" w:ascii="Times New Roman" w:hAnsi="宋体" w:eastAsia="宋体" w:cs="宋体"/>
                      <w:color w:val="auto"/>
                      <w:kern w:val="2"/>
                      <w:sz w:val="21"/>
                      <w:szCs w:val="21"/>
                      <w:bdr w:val="none" w:color="auto" w:sz="0" w:space="0"/>
                      <w:lang w:val="en-US" w:eastAsia="zh-CN" w:bidi="ar"/>
                    </w:rPr>
                    <w:t>）芘</w:t>
                  </w:r>
                  <w:r>
                    <w:rPr>
                      <w:rFonts w:hint="default" w:ascii="Times New Roman" w:hAnsi="Times New Roman" w:eastAsia="宋体" w:cs="Times New Roman"/>
                      <w:color w:val="auto"/>
                      <w:kern w:val="2"/>
                      <w:sz w:val="21"/>
                      <w:szCs w:val="21"/>
                      <w:bdr w:val="none" w:color="auto" w:sz="0" w:space="0"/>
                      <w:lang w:val="en-US" w:eastAsia="zh-CN" w:bidi="ar"/>
                    </w:rPr>
                    <w:t>(ng/m</w:t>
                  </w:r>
                  <w:r>
                    <w:rPr>
                      <w:rFonts w:hint="eastAsia" w:ascii="Times New Roman" w:hAnsi="Times New Roman" w:eastAsia="宋体" w:cs="宋体"/>
                      <w:color w:val="auto"/>
                      <w:kern w:val="2"/>
                      <w:sz w:val="21"/>
                      <w:szCs w:val="21"/>
                      <w:bdr w:val="none" w:color="auto" w:sz="0" w:space="0"/>
                      <w:lang w:val="en-US" w:eastAsia="zh-CN" w:bidi="ar"/>
                    </w:rPr>
                    <w:t>³</w:t>
                  </w:r>
                  <w:r>
                    <w:rPr>
                      <w:rFonts w:hint="default" w:ascii="Times New Roman" w:hAnsi="Times New Roman" w:eastAsia="宋体" w:cs="Times New Roman"/>
                      <w:color w:val="auto"/>
                      <w:kern w:val="2"/>
                      <w:sz w:val="21"/>
                      <w:szCs w:val="21"/>
                      <w:bdr w:val="none" w:color="auto" w:sz="0" w:space="0"/>
                      <w:lang w:val="en-US" w:eastAsia="zh-CN" w:bidi="ar"/>
                    </w:rPr>
                    <w:t>)</w:t>
                  </w:r>
                </w:p>
              </w:tc>
            </w:tr>
            <w:tr>
              <w:tblPrEx>
                <w:tblBorders>
                  <w:top w:val="single" w:color="auto" w:sz="12" w:space="0"/>
                  <w:left w:val="none" w:color="auto" w:sz="6" w:space="0"/>
                  <w:bottom w:val="single" w:color="auto" w:sz="12" w:space="0"/>
                  <w:right w:val="none" w:color="auto" w:sz="6" w:space="0"/>
                  <w:insideH w:val="single" w:color="auto" w:sz="2" w:space="0"/>
                  <w:insideV w:val="single" w:color="auto" w:sz="2" w:space="0"/>
                </w:tblBorders>
                <w:tblCellMar>
                  <w:top w:w="0" w:type="dxa"/>
                  <w:left w:w="0" w:type="dxa"/>
                  <w:bottom w:w="0" w:type="dxa"/>
                  <w:right w:w="0" w:type="dxa"/>
                </w:tblCellMar>
              </w:tblPrEx>
              <w:trPr>
                <w:wAfter w:w="192" w:type="pct"/>
                <w:trHeight w:val="391" w:hRule="atLeast"/>
                <w:jc w:val="center"/>
              </w:trPr>
              <w:tc>
                <w:tcPr>
                  <w:tcW w:w="798" w:type="pct"/>
                  <w:vMerge w:val="continue"/>
                  <w:tcBorders>
                    <w:top w:val="single" w:color="auto" w:sz="12" w:space="0"/>
                    <w:left w:val="nil"/>
                    <w:bottom w:val="single" w:color="auto" w:sz="2" w:space="0"/>
                    <w:right w:val="single" w:color="auto" w:sz="2" w:space="0"/>
                  </w:tcBorders>
                  <w:shd w:val="clear"/>
                  <w:vAlign w:val="center"/>
                </w:tcPr>
                <w:p>
                  <w:pPr>
                    <w:rPr>
                      <w:rFonts w:hint="default" w:ascii="Calibri" w:hAnsi="Calibri" w:eastAsia="宋体" w:cs="Times New Roman"/>
                      <w:color w:val="auto"/>
                      <w:kern w:val="2"/>
                      <w:sz w:val="21"/>
                      <w:szCs w:val="22"/>
                    </w:rPr>
                  </w:pPr>
                </w:p>
              </w:tc>
              <w:tc>
                <w:tcPr>
                  <w:tcW w:w="886" w:type="pct"/>
                  <w:vMerge w:val="continue"/>
                  <w:tcBorders>
                    <w:top w:val="single" w:color="auto" w:sz="2" w:space="0"/>
                    <w:left w:val="single" w:color="auto" w:sz="2" w:space="0"/>
                    <w:bottom w:val="single" w:color="auto" w:sz="2" w:space="0"/>
                    <w:right w:val="single" w:color="auto" w:sz="2" w:space="0"/>
                  </w:tcBorders>
                  <w:shd w:val="clear"/>
                  <w:vAlign w:val="center"/>
                </w:tcPr>
                <w:p>
                  <w:pPr>
                    <w:rPr>
                      <w:rFonts w:hint="default" w:ascii="Calibri" w:hAnsi="Calibri" w:eastAsia="宋体" w:cs="Times New Roman"/>
                      <w:color w:val="auto"/>
                      <w:kern w:val="2"/>
                      <w:sz w:val="21"/>
                      <w:szCs w:val="22"/>
                    </w:rPr>
                  </w:pPr>
                </w:p>
              </w:tc>
              <w:tc>
                <w:tcPr>
                  <w:tcW w:w="625"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实测值</w:t>
                  </w:r>
                </w:p>
              </w:tc>
              <w:tc>
                <w:tcPr>
                  <w:tcW w:w="489"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折算值</w:t>
                  </w:r>
                </w:p>
              </w:tc>
              <w:tc>
                <w:tcPr>
                  <w:tcW w:w="519"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实测值</w:t>
                  </w:r>
                </w:p>
              </w:tc>
              <w:tc>
                <w:tcPr>
                  <w:tcW w:w="515"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折算值</w:t>
                  </w:r>
                </w:p>
              </w:tc>
              <w:tc>
                <w:tcPr>
                  <w:tcW w:w="494"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实测值</w:t>
                  </w:r>
                </w:p>
              </w:tc>
              <w:tc>
                <w:tcPr>
                  <w:tcW w:w="478" w:type="pct"/>
                  <w:tcBorders>
                    <w:top w:val="single" w:color="auto" w:sz="2" w:space="0"/>
                    <w:left w:val="single" w:color="auto" w:sz="2" w:space="0"/>
                    <w:bottom w:val="single" w:color="auto" w:sz="2" w:space="0"/>
                    <w:right w:val="nil"/>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折算值</w:t>
                  </w:r>
                </w:p>
              </w:tc>
            </w:tr>
            <w:tr>
              <w:tblPrEx>
                <w:tblBorders>
                  <w:top w:val="single" w:color="auto" w:sz="12" w:space="0"/>
                  <w:left w:val="none" w:color="auto" w:sz="6" w:space="0"/>
                  <w:bottom w:val="single" w:color="auto" w:sz="12" w:space="0"/>
                  <w:right w:val="none" w:color="auto" w:sz="6" w:space="0"/>
                  <w:insideH w:val="single" w:color="auto" w:sz="2" w:space="0"/>
                  <w:insideV w:val="single" w:color="auto" w:sz="2" w:space="0"/>
                </w:tblBorders>
                <w:shd w:val="clear"/>
                <w:tblCellMar>
                  <w:top w:w="0" w:type="dxa"/>
                  <w:left w:w="0" w:type="dxa"/>
                  <w:bottom w:w="0" w:type="dxa"/>
                  <w:right w:w="0" w:type="dxa"/>
                </w:tblCellMar>
              </w:tblPrEx>
              <w:trPr>
                <w:wAfter w:w="192" w:type="pct"/>
                <w:trHeight w:val="397" w:hRule="exact"/>
                <w:jc w:val="center"/>
              </w:trPr>
              <w:tc>
                <w:tcPr>
                  <w:tcW w:w="798" w:type="pct"/>
                  <w:vMerge w:val="restart"/>
                  <w:tcBorders>
                    <w:top w:val="single" w:color="auto" w:sz="2" w:space="0"/>
                    <w:left w:val="nil"/>
                    <w:bottom w:val="single" w:color="auto" w:sz="1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有组织废气</w:t>
                  </w:r>
                </w:p>
              </w:tc>
              <w:tc>
                <w:tcPr>
                  <w:tcW w:w="886"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9148</w:t>
                  </w:r>
                </w:p>
              </w:tc>
              <w:tc>
                <w:tcPr>
                  <w:tcW w:w="625"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3.9</w:t>
                  </w:r>
                </w:p>
              </w:tc>
              <w:tc>
                <w:tcPr>
                  <w:tcW w:w="489"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4.0</w:t>
                  </w:r>
                </w:p>
              </w:tc>
              <w:tc>
                <w:tcPr>
                  <w:tcW w:w="519"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c>
                <w:tcPr>
                  <w:tcW w:w="515"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c>
                <w:tcPr>
                  <w:tcW w:w="494"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c>
                <w:tcPr>
                  <w:tcW w:w="478" w:type="pct"/>
                  <w:tcBorders>
                    <w:top w:val="single" w:color="auto" w:sz="2" w:space="0"/>
                    <w:left w:val="single" w:color="auto" w:sz="2" w:space="0"/>
                    <w:bottom w:val="single" w:color="auto" w:sz="2" w:space="0"/>
                    <w:right w:val="nil"/>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r>
            <w:tr>
              <w:tblPrEx>
                <w:tblBorders>
                  <w:top w:val="single" w:color="auto" w:sz="12" w:space="0"/>
                  <w:left w:val="none" w:color="auto" w:sz="6" w:space="0"/>
                  <w:bottom w:val="single" w:color="auto" w:sz="12" w:space="0"/>
                  <w:right w:val="none" w:color="auto" w:sz="6" w:space="0"/>
                  <w:insideH w:val="single" w:color="auto" w:sz="2" w:space="0"/>
                  <w:insideV w:val="single" w:color="auto" w:sz="2" w:space="0"/>
                </w:tblBorders>
                <w:shd w:val="clear"/>
                <w:tblCellMar>
                  <w:top w:w="0" w:type="dxa"/>
                  <w:left w:w="0" w:type="dxa"/>
                  <w:bottom w:w="0" w:type="dxa"/>
                  <w:right w:w="0" w:type="dxa"/>
                </w:tblCellMar>
              </w:tblPrEx>
              <w:trPr>
                <w:wAfter w:w="192" w:type="pct"/>
                <w:trHeight w:val="397" w:hRule="exact"/>
                <w:jc w:val="center"/>
              </w:trPr>
              <w:tc>
                <w:tcPr>
                  <w:tcW w:w="798" w:type="pct"/>
                  <w:vMerge w:val="continue"/>
                  <w:tcBorders>
                    <w:top w:val="single" w:color="auto" w:sz="2" w:space="0"/>
                    <w:left w:val="nil"/>
                    <w:bottom w:val="single" w:color="auto" w:sz="12" w:space="0"/>
                    <w:right w:val="single" w:color="auto" w:sz="2" w:space="0"/>
                  </w:tcBorders>
                  <w:shd w:val="clear"/>
                  <w:vAlign w:val="center"/>
                </w:tcPr>
                <w:p>
                  <w:pPr>
                    <w:rPr>
                      <w:rFonts w:hint="default" w:ascii="Calibri" w:hAnsi="Calibri" w:eastAsia="宋体" w:cs="Times New Roman"/>
                      <w:color w:val="auto"/>
                      <w:kern w:val="2"/>
                      <w:sz w:val="21"/>
                      <w:szCs w:val="22"/>
                    </w:rPr>
                  </w:pPr>
                </w:p>
              </w:tc>
              <w:tc>
                <w:tcPr>
                  <w:tcW w:w="886"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9283</w:t>
                  </w:r>
                </w:p>
              </w:tc>
              <w:tc>
                <w:tcPr>
                  <w:tcW w:w="625"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4.0</w:t>
                  </w:r>
                </w:p>
              </w:tc>
              <w:tc>
                <w:tcPr>
                  <w:tcW w:w="489"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4.1</w:t>
                  </w:r>
                </w:p>
              </w:tc>
              <w:tc>
                <w:tcPr>
                  <w:tcW w:w="519"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c>
                <w:tcPr>
                  <w:tcW w:w="515"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c>
                <w:tcPr>
                  <w:tcW w:w="494"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c>
                <w:tcPr>
                  <w:tcW w:w="478" w:type="pct"/>
                  <w:tcBorders>
                    <w:top w:val="single" w:color="auto" w:sz="2" w:space="0"/>
                    <w:left w:val="single" w:color="auto" w:sz="2" w:space="0"/>
                    <w:bottom w:val="single" w:color="auto" w:sz="2" w:space="0"/>
                    <w:right w:val="nil"/>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r>
            <w:tr>
              <w:tblPrEx>
                <w:tblBorders>
                  <w:top w:val="single" w:color="auto" w:sz="12" w:space="0"/>
                  <w:left w:val="none" w:color="auto" w:sz="6" w:space="0"/>
                  <w:bottom w:val="single" w:color="auto" w:sz="12" w:space="0"/>
                  <w:right w:val="none" w:color="auto" w:sz="6" w:space="0"/>
                  <w:insideH w:val="single" w:color="auto" w:sz="2" w:space="0"/>
                  <w:insideV w:val="single" w:color="auto" w:sz="2" w:space="0"/>
                </w:tblBorders>
                <w:shd w:val="clear"/>
                <w:tblCellMar>
                  <w:top w:w="0" w:type="dxa"/>
                  <w:left w:w="0" w:type="dxa"/>
                  <w:bottom w:w="0" w:type="dxa"/>
                  <w:right w:w="0" w:type="dxa"/>
                </w:tblCellMar>
              </w:tblPrEx>
              <w:trPr>
                <w:wAfter w:w="192" w:type="pct"/>
                <w:trHeight w:val="397" w:hRule="exact"/>
                <w:jc w:val="center"/>
              </w:trPr>
              <w:tc>
                <w:tcPr>
                  <w:tcW w:w="798" w:type="pct"/>
                  <w:vMerge w:val="continue"/>
                  <w:tcBorders>
                    <w:top w:val="single" w:color="auto" w:sz="2" w:space="0"/>
                    <w:left w:val="nil"/>
                    <w:bottom w:val="single" w:color="auto" w:sz="12" w:space="0"/>
                    <w:right w:val="single" w:color="auto" w:sz="2" w:space="0"/>
                  </w:tcBorders>
                  <w:shd w:val="clear"/>
                  <w:vAlign w:val="center"/>
                </w:tcPr>
                <w:p>
                  <w:pPr>
                    <w:rPr>
                      <w:rFonts w:hint="default" w:ascii="Calibri" w:hAnsi="Calibri" w:eastAsia="宋体" w:cs="Times New Roman"/>
                      <w:color w:val="auto"/>
                      <w:kern w:val="2"/>
                      <w:sz w:val="21"/>
                      <w:szCs w:val="22"/>
                    </w:rPr>
                  </w:pPr>
                </w:p>
              </w:tc>
              <w:tc>
                <w:tcPr>
                  <w:tcW w:w="886"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9272</w:t>
                  </w:r>
                </w:p>
              </w:tc>
              <w:tc>
                <w:tcPr>
                  <w:tcW w:w="625"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4.1</w:t>
                  </w:r>
                </w:p>
              </w:tc>
              <w:tc>
                <w:tcPr>
                  <w:tcW w:w="489"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4.2</w:t>
                  </w:r>
                </w:p>
              </w:tc>
              <w:tc>
                <w:tcPr>
                  <w:tcW w:w="519"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c>
                <w:tcPr>
                  <w:tcW w:w="515"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c>
                <w:tcPr>
                  <w:tcW w:w="494"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c>
                <w:tcPr>
                  <w:tcW w:w="478" w:type="pct"/>
                  <w:tcBorders>
                    <w:top w:val="single" w:color="auto" w:sz="2" w:space="0"/>
                    <w:left w:val="single" w:color="auto" w:sz="2" w:space="0"/>
                    <w:bottom w:val="single" w:color="auto" w:sz="2" w:space="0"/>
                    <w:right w:val="nil"/>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r>
            <w:tr>
              <w:tblPrEx>
                <w:tblBorders>
                  <w:top w:val="single" w:color="auto" w:sz="12" w:space="0"/>
                  <w:left w:val="none" w:color="auto" w:sz="6" w:space="0"/>
                  <w:bottom w:val="single" w:color="auto" w:sz="12" w:space="0"/>
                  <w:right w:val="none" w:color="auto" w:sz="6" w:space="0"/>
                  <w:insideH w:val="single" w:color="auto" w:sz="2" w:space="0"/>
                  <w:insideV w:val="single" w:color="auto" w:sz="2" w:space="0"/>
                </w:tblBorders>
                <w:shd w:val="clear"/>
                <w:tblCellMar>
                  <w:top w:w="0" w:type="dxa"/>
                  <w:left w:w="0" w:type="dxa"/>
                  <w:bottom w:w="0" w:type="dxa"/>
                  <w:right w:w="0" w:type="dxa"/>
                </w:tblCellMar>
              </w:tblPrEx>
              <w:trPr>
                <w:wAfter w:w="192" w:type="pct"/>
                <w:trHeight w:val="397" w:hRule="exact"/>
                <w:jc w:val="center"/>
              </w:trPr>
              <w:tc>
                <w:tcPr>
                  <w:tcW w:w="798" w:type="pct"/>
                  <w:vMerge w:val="continue"/>
                  <w:tcBorders>
                    <w:top w:val="single" w:color="auto" w:sz="2" w:space="0"/>
                    <w:left w:val="nil"/>
                    <w:bottom w:val="single" w:color="auto" w:sz="12" w:space="0"/>
                    <w:right w:val="single" w:color="auto" w:sz="2" w:space="0"/>
                  </w:tcBorders>
                  <w:shd w:val="clear"/>
                  <w:vAlign w:val="center"/>
                </w:tcPr>
                <w:p>
                  <w:pPr>
                    <w:rPr>
                      <w:rFonts w:hint="default" w:ascii="Calibri" w:hAnsi="Calibri" w:eastAsia="宋体" w:cs="Times New Roman"/>
                      <w:color w:val="auto"/>
                      <w:kern w:val="2"/>
                      <w:sz w:val="21"/>
                      <w:szCs w:val="22"/>
                    </w:rPr>
                  </w:pPr>
                </w:p>
              </w:tc>
              <w:tc>
                <w:tcPr>
                  <w:tcW w:w="886"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检测时间</w:t>
                  </w:r>
                </w:p>
              </w:tc>
              <w:tc>
                <w:tcPr>
                  <w:tcW w:w="3122" w:type="pct"/>
                  <w:gridSpan w:val="6"/>
                  <w:tcBorders>
                    <w:top w:val="single" w:color="auto" w:sz="2" w:space="0"/>
                    <w:left w:val="single" w:color="auto" w:sz="2" w:space="0"/>
                    <w:bottom w:val="single" w:color="auto" w:sz="2" w:space="0"/>
                    <w:right w:val="nil"/>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2023.05.19</w:t>
                  </w:r>
                </w:p>
              </w:tc>
            </w:tr>
            <w:tr>
              <w:tblPrEx>
                <w:tblBorders>
                  <w:top w:val="single" w:color="auto" w:sz="12" w:space="0"/>
                  <w:left w:val="none" w:color="auto" w:sz="6" w:space="0"/>
                  <w:bottom w:val="single" w:color="auto" w:sz="12" w:space="0"/>
                  <w:right w:val="none" w:color="auto" w:sz="6" w:space="0"/>
                  <w:insideH w:val="single" w:color="auto" w:sz="2" w:space="0"/>
                  <w:insideV w:val="single" w:color="auto" w:sz="2" w:space="0"/>
                </w:tblBorders>
                <w:shd w:val="clear"/>
                <w:tblCellMar>
                  <w:top w:w="0" w:type="dxa"/>
                  <w:left w:w="0" w:type="dxa"/>
                  <w:bottom w:w="0" w:type="dxa"/>
                  <w:right w:w="0" w:type="dxa"/>
                </w:tblCellMar>
              </w:tblPrEx>
              <w:trPr>
                <w:wAfter w:w="192" w:type="pct"/>
                <w:trHeight w:val="397" w:hRule="exact"/>
                <w:jc w:val="center"/>
              </w:trPr>
              <w:tc>
                <w:tcPr>
                  <w:tcW w:w="798" w:type="pct"/>
                  <w:vMerge w:val="continue"/>
                  <w:tcBorders>
                    <w:top w:val="single" w:color="auto" w:sz="2" w:space="0"/>
                    <w:left w:val="nil"/>
                    <w:bottom w:val="single" w:color="auto" w:sz="12" w:space="0"/>
                    <w:right w:val="single" w:color="auto" w:sz="2" w:space="0"/>
                  </w:tcBorders>
                  <w:shd w:val="clear"/>
                  <w:vAlign w:val="center"/>
                </w:tcPr>
                <w:p>
                  <w:pPr>
                    <w:rPr>
                      <w:rFonts w:hint="default" w:ascii="Calibri" w:hAnsi="Calibri" w:eastAsia="宋体" w:cs="Times New Roman"/>
                      <w:color w:val="auto"/>
                      <w:kern w:val="2"/>
                      <w:sz w:val="21"/>
                      <w:szCs w:val="22"/>
                    </w:rPr>
                  </w:pPr>
                </w:p>
              </w:tc>
              <w:tc>
                <w:tcPr>
                  <w:tcW w:w="886" w:type="pct"/>
                  <w:vMerge w:val="restar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标杆流量</w:t>
                  </w:r>
                </w:p>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w:t>
                  </w:r>
                  <w:r>
                    <w:rPr>
                      <w:rFonts w:hint="default" w:ascii="Times New Roman" w:hAnsi="Times New Roman" w:eastAsia="宋体" w:cs="Times New Roman"/>
                      <w:color w:val="auto"/>
                      <w:kern w:val="2"/>
                      <w:sz w:val="21"/>
                      <w:szCs w:val="21"/>
                      <w:bdr w:val="none" w:color="auto" w:sz="0" w:space="0"/>
                      <w:lang w:val="en-US" w:eastAsia="zh-CN" w:bidi="ar"/>
                    </w:rPr>
                    <w:t>Nm³/h</w:t>
                  </w:r>
                  <w:r>
                    <w:rPr>
                      <w:rFonts w:hint="eastAsia" w:ascii="Times New Roman" w:hAnsi="Times New Roman" w:eastAsia="宋体" w:cs="宋体"/>
                      <w:color w:val="auto"/>
                      <w:kern w:val="2"/>
                      <w:sz w:val="21"/>
                      <w:szCs w:val="21"/>
                      <w:bdr w:val="none" w:color="auto" w:sz="0" w:space="0"/>
                      <w:lang w:val="en-US" w:eastAsia="zh-CN" w:bidi="ar"/>
                    </w:rPr>
                    <w:t>）</w:t>
                  </w:r>
                </w:p>
              </w:tc>
              <w:tc>
                <w:tcPr>
                  <w:tcW w:w="1114" w:type="pct"/>
                  <w:gridSpan w:val="2"/>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颗粒物</w:t>
                  </w:r>
                  <w:r>
                    <w:rPr>
                      <w:rFonts w:hint="default" w:ascii="Times New Roman" w:hAnsi="Times New Roman" w:eastAsia="宋体" w:cs="Times New Roman"/>
                      <w:color w:val="auto"/>
                      <w:kern w:val="2"/>
                      <w:sz w:val="21"/>
                      <w:szCs w:val="21"/>
                      <w:bdr w:val="none" w:color="auto" w:sz="0" w:space="0"/>
                      <w:lang w:val="en-US" w:eastAsia="zh-CN" w:bidi="ar"/>
                    </w:rPr>
                    <w:t>(mg/m³)</w:t>
                  </w:r>
                </w:p>
              </w:tc>
              <w:tc>
                <w:tcPr>
                  <w:tcW w:w="1034" w:type="pct"/>
                  <w:gridSpan w:val="2"/>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沥青烟</w:t>
                  </w:r>
                  <w:r>
                    <w:rPr>
                      <w:rFonts w:hint="default" w:ascii="Times New Roman" w:hAnsi="Times New Roman" w:eastAsia="宋体" w:cs="Times New Roman"/>
                      <w:color w:val="auto"/>
                      <w:kern w:val="2"/>
                      <w:sz w:val="21"/>
                      <w:szCs w:val="21"/>
                      <w:bdr w:val="none" w:color="auto" w:sz="0" w:space="0"/>
                      <w:lang w:val="en-US" w:eastAsia="zh-CN" w:bidi="ar"/>
                    </w:rPr>
                    <w:t>(ng/m</w:t>
                  </w:r>
                  <w:r>
                    <w:rPr>
                      <w:rFonts w:hint="eastAsia" w:ascii="Times New Roman" w:hAnsi="Times New Roman" w:eastAsia="宋体" w:cs="宋体"/>
                      <w:color w:val="auto"/>
                      <w:kern w:val="2"/>
                      <w:sz w:val="21"/>
                      <w:szCs w:val="21"/>
                      <w:bdr w:val="none" w:color="auto" w:sz="0" w:space="0"/>
                      <w:lang w:val="en-US" w:eastAsia="zh-CN" w:bidi="ar"/>
                    </w:rPr>
                    <w:t>³</w:t>
                  </w:r>
                  <w:r>
                    <w:rPr>
                      <w:rFonts w:hint="default" w:ascii="Times New Roman" w:hAnsi="Times New Roman" w:eastAsia="宋体" w:cs="Times New Roman"/>
                      <w:color w:val="auto"/>
                      <w:kern w:val="2"/>
                      <w:sz w:val="21"/>
                      <w:szCs w:val="21"/>
                      <w:bdr w:val="none" w:color="auto" w:sz="0" w:space="0"/>
                      <w:lang w:val="en-US" w:eastAsia="zh-CN" w:bidi="ar"/>
                    </w:rPr>
                    <w:t>)</w:t>
                  </w:r>
                </w:p>
              </w:tc>
              <w:tc>
                <w:tcPr>
                  <w:tcW w:w="973" w:type="pct"/>
                  <w:gridSpan w:val="2"/>
                  <w:tcBorders>
                    <w:top w:val="single" w:color="auto" w:sz="2" w:space="0"/>
                    <w:left w:val="single" w:color="auto" w:sz="2" w:space="0"/>
                    <w:bottom w:val="single" w:color="auto" w:sz="2" w:space="0"/>
                    <w:right w:val="nil"/>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 xml:space="preserve"> </w:t>
                  </w:r>
                  <w:r>
                    <w:rPr>
                      <w:rFonts w:hint="eastAsia" w:ascii="Times New Roman" w:hAnsi="宋体" w:eastAsia="宋体" w:cs="宋体"/>
                      <w:color w:val="auto"/>
                      <w:kern w:val="2"/>
                      <w:sz w:val="21"/>
                      <w:szCs w:val="21"/>
                      <w:bdr w:val="none" w:color="auto" w:sz="0" w:space="0"/>
                      <w:lang w:val="en-US" w:eastAsia="zh-CN" w:bidi="ar"/>
                    </w:rPr>
                    <w:t>苯并（</w:t>
                  </w:r>
                  <w:r>
                    <w:rPr>
                      <w:rFonts w:hint="default" w:ascii="Times New Roman" w:hAnsi="宋体" w:eastAsia="宋体" w:cs="Times New Roman"/>
                      <w:color w:val="auto"/>
                      <w:kern w:val="2"/>
                      <w:sz w:val="21"/>
                      <w:szCs w:val="21"/>
                      <w:bdr w:val="none" w:color="auto" w:sz="0" w:space="0"/>
                      <w:lang w:val="en-US" w:eastAsia="zh-CN" w:bidi="ar"/>
                    </w:rPr>
                    <w:t>a</w:t>
                  </w:r>
                  <w:r>
                    <w:rPr>
                      <w:rFonts w:hint="eastAsia" w:ascii="Times New Roman" w:hAnsi="宋体" w:eastAsia="宋体" w:cs="宋体"/>
                      <w:color w:val="auto"/>
                      <w:kern w:val="2"/>
                      <w:sz w:val="21"/>
                      <w:szCs w:val="21"/>
                      <w:bdr w:val="none" w:color="auto" w:sz="0" w:space="0"/>
                      <w:lang w:val="en-US" w:eastAsia="zh-CN" w:bidi="ar"/>
                    </w:rPr>
                    <w:t>）芘</w:t>
                  </w:r>
                  <w:r>
                    <w:rPr>
                      <w:rFonts w:hint="default" w:ascii="Times New Roman" w:hAnsi="Times New Roman" w:eastAsia="宋体" w:cs="Times New Roman"/>
                      <w:color w:val="auto"/>
                      <w:kern w:val="2"/>
                      <w:sz w:val="21"/>
                      <w:szCs w:val="21"/>
                      <w:bdr w:val="none" w:color="auto" w:sz="0" w:space="0"/>
                      <w:lang w:val="en-US" w:eastAsia="zh-CN" w:bidi="ar"/>
                    </w:rPr>
                    <w:t>(ng/m</w:t>
                  </w:r>
                  <w:r>
                    <w:rPr>
                      <w:rFonts w:hint="eastAsia" w:ascii="Times New Roman" w:hAnsi="Times New Roman" w:eastAsia="宋体" w:cs="宋体"/>
                      <w:color w:val="auto"/>
                      <w:kern w:val="2"/>
                      <w:sz w:val="21"/>
                      <w:szCs w:val="21"/>
                      <w:bdr w:val="none" w:color="auto" w:sz="0" w:space="0"/>
                      <w:lang w:val="en-US" w:eastAsia="zh-CN" w:bidi="ar"/>
                    </w:rPr>
                    <w:t>³</w:t>
                  </w:r>
                  <w:r>
                    <w:rPr>
                      <w:rFonts w:hint="default" w:ascii="Times New Roman" w:hAnsi="Times New Roman" w:eastAsia="宋体" w:cs="Times New Roman"/>
                      <w:color w:val="auto"/>
                      <w:kern w:val="2"/>
                      <w:sz w:val="21"/>
                      <w:szCs w:val="21"/>
                      <w:bdr w:val="none" w:color="auto" w:sz="0" w:space="0"/>
                      <w:lang w:val="en-US" w:eastAsia="zh-CN" w:bidi="ar"/>
                    </w:rPr>
                    <w:t>)</w:t>
                  </w:r>
                </w:p>
              </w:tc>
            </w:tr>
            <w:tr>
              <w:tblPrEx>
                <w:tblBorders>
                  <w:top w:val="single" w:color="auto" w:sz="12" w:space="0"/>
                  <w:left w:val="none" w:color="auto" w:sz="6" w:space="0"/>
                  <w:bottom w:val="single" w:color="auto" w:sz="12" w:space="0"/>
                  <w:right w:val="none" w:color="auto" w:sz="6" w:space="0"/>
                  <w:insideH w:val="single" w:color="auto" w:sz="2" w:space="0"/>
                  <w:insideV w:val="single" w:color="auto" w:sz="2" w:space="0"/>
                </w:tblBorders>
                <w:shd w:val="clear"/>
                <w:tblCellMar>
                  <w:top w:w="0" w:type="dxa"/>
                  <w:left w:w="0" w:type="dxa"/>
                  <w:bottom w:w="0" w:type="dxa"/>
                  <w:right w:w="0" w:type="dxa"/>
                </w:tblCellMar>
              </w:tblPrEx>
              <w:trPr>
                <w:wAfter w:w="192" w:type="pct"/>
                <w:trHeight w:val="397" w:hRule="exact"/>
                <w:jc w:val="center"/>
              </w:trPr>
              <w:tc>
                <w:tcPr>
                  <w:tcW w:w="798" w:type="pct"/>
                  <w:vMerge w:val="continue"/>
                  <w:tcBorders>
                    <w:top w:val="single" w:color="auto" w:sz="2" w:space="0"/>
                    <w:left w:val="nil"/>
                    <w:bottom w:val="single" w:color="auto" w:sz="12" w:space="0"/>
                    <w:right w:val="single" w:color="auto" w:sz="2" w:space="0"/>
                  </w:tcBorders>
                  <w:shd w:val="clear"/>
                  <w:vAlign w:val="center"/>
                </w:tcPr>
                <w:p>
                  <w:pPr>
                    <w:rPr>
                      <w:rFonts w:hint="default" w:ascii="Calibri" w:hAnsi="Calibri" w:eastAsia="宋体" w:cs="Times New Roman"/>
                      <w:color w:val="auto"/>
                      <w:kern w:val="2"/>
                      <w:sz w:val="21"/>
                      <w:szCs w:val="22"/>
                    </w:rPr>
                  </w:pPr>
                </w:p>
              </w:tc>
              <w:tc>
                <w:tcPr>
                  <w:tcW w:w="886" w:type="pct"/>
                  <w:vMerge w:val="continue"/>
                  <w:tcBorders>
                    <w:top w:val="single" w:color="auto" w:sz="2" w:space="0"/>
                    <w:left w:val="single" w:color="auto" w:sz="2" w:space="0"/>
                    <w:bottom w:val="single" w:color="auto" w:sz="2" w:space="0"/>
                    <w:right w:val="single" w:color="auto" w:sz="2" w:space="0"/>
                  </w:tcBorders>
                  <w:shd w:val="clear"/>
                  <w:vAlign w:val="center"/>
                </w:tcPr>
                <w:p>
                  <w:pPr>
                    <w:rPr>
                      <w:rFonts w:hint="default" w:ascii="Calibri" w:hAnsi="Calibri" w:eastAsia="宋体" w:cs="Times New Roman"/>
                      <w:color w:val="auto"/>
                      <w:kern w:val="2"/>
                      <w:sz w:val="21"/>
                      <w:szCs w:val="22"/>
                    </w:rPr>
                  </w:pPr>
                </w:p>
              </w:tc>
              <w:tc>
                <w:tcPr>
                  <w:tcW w:w="625"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实测值</w:t>
                  </w:r>
                </w:p>
              </w:tc>
              <w:tc>
                <w:tcPr>
                  <w:tcW w:w="489"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折算值</w:t>
                  </w:r>
                </w:p>
              </w:tc>
              <w:tc>
                <w:tcPr>
                  <w:tcW w:w="519"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实测值</w:t>
                  </w:r>
                </w:p>
              </w:tc>
              <w:tc>
                <w:tcPr>
                  <w:tcW w:w="515"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折算值</w:t>
                  </w:r>
                </w:p>
              </w:tc>
              <w:tc>
                <w:tcPr>
                  <w:tcW w:w="494"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实测值</w:t>
                  </w:r>
                </w:p>
              </w:tc>
              <w:tc>
                <w:tcPr>
                  <w:tcW w:w="478" w:type="pct"/>
                  <w:tcBorders>
                    <w:top w:val="single" w:color="auto" w:sz="2" w:space="0"/>
                    <w:left w:val="single" w:color="auto" w:sz="2" w:space="0"/>
                    <w:bottom w:val="single" w:color="auto" w:sz="2" w:space="0"/>
                    <w:right w:val="nil"/>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eastAsia" w:ascii="Times New Roman" w:hAnsi="Times New Roman" w:eastAsia="宋体" w:cs="宋体"/>
                      <w:color w:val="auto"/>
                      <w:kern w:val="2"/>
                      <w:sz w:val="21"/>
                      <w:szCs w:val="21"/>
                      <w:bdr w:val="none" w:color="auto" w:sz="0" w:space="0"/>
                      <w:lang w:val="en-US" w:eastAsia="zh-CN" w:bidi="ar"/>
                    </w:rPr>
                    <w:t>折算值</w:t>
                  </w:r>
                </w:p>
              </w:tc>
            </w:tr>
            <w:tr>
              <w:tblPrEx>
                <w:tblBorders>
                  <w:top w:val="single" w:color="auto" w:sz="12" w:space="0"/>
                  <w:left w:val="none" w:color="auto" w:sz="6" w:space="0"/>
                  <w:bottom w:val="single" w:color="auto" w:sz="12" w:space="0"/>
                  <w:right w:val="none" w:color="auto" w:sz="6" w:space="0"/>
                  <w:insideH w:val="single" w:color="auto" w:sz="2" w:space="0"/>
                  <w:insideV w:val="single" w:color="auto" w:sz="2" w:space="0"/>
                </w:tblBorders>
                <w:shd w:val="clear"/>
                <w:tblCellMar>
                  <w:top w:w="0" w:type="dxa"/>
                  <w:left w:w="0" w:type="dxa"/>
                  <w:bottom w:w="0" w:type="dxa"/>
                  <w:right w:w="0" w:type="dxa"/>
                </w:tblCellMar>
              </w:tblPrEx>
              <w:trPr>
                <w:wAfter w:w="192" w:type="pct"/>
                <w:trHeight w:val="397" w:hRule="exact"/>
                <w:jc w:val="center"/>
              </w:trPr>
              <w:tc>
                <w:tcPr>
                  <w:tcW w:w="798" w:type="pct"/>
                  <w:vMerge w:val="continue"/>
                  <w:tcBorders>
                    <w:top w:val="single" w:color="auto" w:sz="2" w:space="0"/>
                    <w:left w:val="nil"/>
                    <w:bottom w:val="single" w:color="auto" w:sz="12" w:space="0"/>
                    <w:right w:val="single" w:color="auto" w:sz="2" w:space="0"/>
                  </w:tcBorders>
                  <w:shd w:val="clear"/>
                  <w:vAlign w:val="center"/>
                </w:tcPr>
                <w:p>
                  <w:pPr>
                    <w:rPr>
                      <w:rFonts w:hint="default" w:ascii="Calibri" w:hAnsi="Calibri" w:eastAsia="宋体" w:cs="Times New Roman"/>
                      <w:color w:val="auto"/>
                      <w:kern w:val="2"/>
                      <w:sz w:val="21"/>
                      <w:szCs w:val="22"/>
                    </w:rPr>
                  </w:pPr>
                </w:p>
              </w:tc>
              <w:tc>
                <w:tcPr>
                  <w:tcW w:w="886"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9187</w:t>
                  </w:r>
                </w:p>
              </w:tc>
              <w:tc>
                <w:tcPr>
                  <w:tcW w:w="625"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3.8</w:t>
                  </w:r>
                </w:p>
              </w:tc>
              <w:tc>
                <w:tcPr>
                  <w:tcW w:w="489"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3.9</w:t>
                  </w:r>
                </w:p>
              </w:tc>
              <w:tc>
                <w:tcPr>
                  <w:tcW w:w="519"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w:t>
                  </w:r>
                  <w:bookmarkStart w:id="12" w:name="_GoBack"/>
                  <w:bookmarkEnd w:id="12"/>
                  <w:r>
                    <w:rPr>
                      <w:rFonts w:hint="default" w:ascii="Times New Roman" w:hAnsi="Times New Roman" w:eastAsia="宋体" w:cs="Times New Roman"/>
                      <w:color w:val="auto"/>
                      <w:kern w:val="2"/>
                      <w:sz w:val="21"/>
                      <w:szCs w:val="21"/>
                      <w:bdr w:val="none" w:color="auto" w:sz="0" w:space="0"/>
                      <w:lang w:val="en-US" w:eastAsia="zh-CN" w:bidi="ar"/>
                    </w:rPr>
                    <w:t>D</w:t>
                  </w:r>
                </w:p>
              </w:tc>
              <w:tc>
                <w:tcPr>
                  <w:tcW w:w="515"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c>
                <w:tcPr>
                  <w:tcW w:w="494"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c>
                <w:tcPr>
                  <w:tcW w:w="478" w:type="pct"/>
                  <w:tcBorders>
                    <w:top w:val="single" w:color="auto" w:sz="2" w:space="0"/>
                    <w:left w:val="single" w:color="auto" w:sz="2" w:space="0"/>
                    <w:bottom w:val="single" w:color="auto" w:sz="2" w:space="0"/>
                    <w:right w:val="nil"/>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r>
            <w:tr>
              <w:tblPrEx>
                <w:tblBorders>
                  <w:top w:val="single" w:color="auto" w:sz="12" w:space="0"/>
                  <w:left w:val="none" w:color="auto" w:sz="6" w:space="0"/>
                  <w:bottom w:val="single" w:color="auto" w:sz="12" w:space="0"/>
                  <w:right w:val="none" w:color="auto" w:sz="6" w:space="0"/>
                  <w:insideH w:val="single" w:color="auto" w:sz="2" w:space="0"/>
                  <w:insideV w:val="single" w:color="auto" w:sz="2" w:space="0"/>
                </w:tblBorders>
                <w:shd w:val="clear"/>
                <w:tblCellMar>
                  <w:top w:w="0" w:type="dxa"/>
                  <w:left w:w="0" w:type="dxa"/>
                  <w:bottom w:w="0" w:type="dxa"/>
                  <w:right w:w="0" w:type="dxa"/>
                </w:tblCellMar>
              </w:tblPrEx>
              <w:trPr>
                <w:wAfter w:w="192" w:type="pct"/>
                <w:trHeight w:val="397" w:hRule="exact"/>
                <w:jc w:val="center"/>
              </w:trPr>
              <w:tc>
                <w:tcPr>
                  <w:tcW w:w="798" w:type="pct"/>
                  <w:vMerge w:val="continue"/>
                  <w:tcBorders>
                    <w:top w:val="single" w:color="auto" w:sz="2" w:space="0"/>
                    <w:left w:val="nil"/>
                    <w:bottom w:val="single" w:color="auto" w:sz="12" w:space="0"/>
                    <w:right w:val="single" w:color="auto" w:sz="2" w:space="0"/>
                  </w:tcBorders>
                  <w:shd w:val="clear"/>
                  <w:vAlign w:val="center"/>
                </w:tcPr>
                <w:p>
                  <w:pPr>
                    <w:rPr>
                      <w:rFonts w:hint="default" w:ascii="Calibri" w:hAnsi="Calibri" w:eastAsia="宋体" w:cs="Times New Roman"/>
                      <w:color w:val="auto"/>
                      <w:kern w:val="2"/>
                      <w:sz w:val="21"/>
                      <w:szCs w:val="22"/>
                    </w:rPr>
                  </w:pPr>
                </w:p>
              </w:tc>
              <w:tc>
                <w:tcPr>
                  <w:tcW w:w="886"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9255</w:t>
                  </w:r>
                </w:p>
              </w:tc>
              <w:tc>
                <w:tcPr>
                  <w:tcW w:w="625"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4.1</w:t>
                  </w:r>
                </w:p>
              </w:tc>
              <w:tc>
                <w:tcPr>
                  <w:tcW w:w="489"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4.2</w:t>
                  </w:r>
                </w:p>
              </w:tc>
              <w:tc>
                <w:tcPr>
                  <w:tcW w:w="519"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c>
                <w:tcPr>
                  <w:tcW w:w="515"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c>
                <w:tcPr>
                  <w:tcW w:w="494" w:type="pct"/>
                  <w:tcBorders>
                    <w:top w:val="single" w:color="auto" w:sz="2" w:space="0"/>
                    <w:left w:val="single" w:color="auto" w:sz="2" w:space="0"/>
                    <w:bottom w:val="single" w:color="auto" w:sz="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c>
                <w:tcPr>
                  <w:tcW w:w="478" w:type="pct"/>
                  <w:tcBorders>
                    <w:top w:val="single" w:color="auto" w:sz="2" w:space="0"/>
                    <w:left w:val="single" w:color="auto" w:sz="2" w:space="0"/>
                    <w:bottom w:val="single" w:color="auto" w:sz="2" w:space="0"/>
                    <w:right w:val="nil"/>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r>
            <w:tr>
              <w:tblPrEx>
                <w:tblBorders>
                  <w:top w:val="single" w:color="auto" w:sz="12" w:space="0"/>
                  <w:left w:val="none" w:color="auto" w:sz="6" w:space="0"/>
                  <w:bottom w:val="single" w:color="auto" w:sz="12" w:space="0"/>
                  <w:right w:val="none" w:color="auto" w:sz="6" w:space="0"/>
                  <w:insideH w:val="single" w:color="auto" w:sz="2" w:space="0"/>
                  <w:insideV w:val="single" w:color="auto" w:sz="2" w:space="0"/>
                </w:tblBorders>
                <w:shd w:val="clear"/>
                <w:tblCellMar>
                  <w:top w:w="0" w:type="dxa"/>
                  <w:left w:w="0" w:type="dxa"/>
                  <w:bottom w:w="0" w:type="dxa"/>
                  <w:right w:w="0" w:type="dxa"/>
                </w:tblCellMar>
              </w:tblPrEx>
              <w:trPr>
                <w:wAfter w:w="192" w:type="pct"/>
                <w:trHeight w:val="397" w:hRule="exact"/>
                <w:jc w:val="center"/>
              </w:trPr>
              <w:tc>
                <w:tcPr>
                  <w:tcW w:w="798" w:type="pct"/>
                  <w:vMerge w:val="continue"/>
                  <w:tcBorders>
                    <w:top w:val="single" w:color="auto" w:sz="2" w:space="0"/>
                    <w:left w:val="nil"/>
                    <w:bottom w:val="single" w:color="auto" w:sz="12" w:space="0"/>
                    <w:right w:val="single" w:color="auto" w:sz="2" w:space="0"/>
                  </w:tcBorders>
                  <w:shd w:val="clear"/>
                  <w:vAlign w:val="center"/>
                </w:tcPr>
                <w:p>
                  <w:pPr>
                    <w:rPr>
                      <w:rFonts w:hint="default" w:ascii="Calibri" w:hAnsi="Calibri" w:eastAsia="宋体" w:cs="Times New Roman"/>
                      <w:color w:val="auto"/>
                      <w:kern w:val="2"/>
                      <w:sz w:val="21"/>
                      <w:szCs w:val="22"/>
                    </w:rPr>
                  </w:pPr>
                </w:p>
              </w:tc>
              <w:tc>
                <w:tcPr>
                  <w:tcW w:w="886" w:type="pct"/>
                  <w:tcBorders>
                    <w:top w:val="single" w:color="auto" w:sz="2" w:space="0"/>
                    <w:left w:val="single" w:color="auto" w:sz="2" w:space="0"/>
                    <w:bottom w:val="single" w:color="auto" w:sz="1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9227</w:t>
                  </w:r>
                </w:p>
              </w:tc>
              <w:tc>
                <w:tcPr>
                  <w:tcW w:w="625" w:type="pct"/>
                  <w:tcBorders>
                    <w:top w:val="single" w:color="auto" w:sz="2" w:space="0"/>
                    <w:left w:val="single" w:color="auto" w:sz="2" w:space="0"/>
                    <w:bottom w:val="single" w:color="auto" w:sz="1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3.8</w:t>
                  </w:r>
                </w:p>
              </w:tc>
              <w:tc>
                <w:tcPr>
                  <w:tcW w:w="489" w:type="pct"/>
                  <w:tcBorders>
                    <w:top w:val="single" w:color="auto" w:sz="2" w:space="0"/>
                    <w:left w:val="single" w:color="auto" w:sz="2" w:space="0"/>
                    <w:bottom w:val="single" w:color="auto" w:sz="1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3.9</w:t>
                  </w:r>
                </w:p>
              </w:tc>
              <w:tc>
                <w:tcPr>
                  <w:tcW w:w="519" w:type="pct"/>
                  <w:tcBorders>
                    <w:top w:val="single" w:color="auto" w:sz="2" w:space="0"/>
                    <w:left w:val="single" w:color="auto" w:sz="2" w:space="0"/>
                    <w:bottom w:val="single" w:color="auto" w:sz="1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c>
                <w:tcPr>
                  <w:tcW w:w="515" w:type="pct"/>
                  <w:tcBorders>
                    <w:top w:val="single" w:color="auto" w:sz="2" w:space="0"/>
                    <w:left w:val="single" w:color="auto" w:sz="2" w:space="0"/>
                    <w:bottom w:val="single" w:color="auto" w:sz="1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c>
                <w:tcPr>
                  <w:tcW w:w="494" w:type="pct"/>
                  <w:tcBorders>
                    <w:top w:val="single" w:color="auto" w:sz="2" w:space="0"/>
                    <w:left w:val="single" w:color="auto" w:sz="2" w:space="0"/>
                    <w:bottom w:val="single" w:color="auto" w:sz="12" w:space="0"/>
                    <w:right w:val="single" w:color="auto" w:sz="2" w:space="0"/>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c>
                <w:tcPr>
                  <w:tcW w:w="478" w:type="pct"/>
                  <w:tcBorders>
                    <w:top w:val="single" w:color="auto" w:sz="2" w:space="0"/>
                    <w:left w:val="single" w:color="auto" w:sz="2" w:space="0"/>
                    <w:bottom w:val="single" w:color="auto" w:sz="12" w:space="0"/>
                    <w:right w:val="nil"/>
                  </w:tcBorders>
                  <w:shd w:val="clear"/>
                  <w:vAlign w:val="center"/>
                </w:tcPr>
                <w:p>
                  <w:pPr>
                    <w:keepNext w:val="0"/>
                    <w:keepLines w:val="0"/>
                    <w:widowControl w:val="0"/>
                    <w:suppressLineNumbers w:val="0"/>
                    <w:spacing w:before="0" w:beforeAutospacing="0" w:after="0" w:afterAutospacing="0"/>
                    <w:ind w:left="0" w:right="0"/>
                    <w:jc w:val="center"/>
                    <w:rPr>
                      <w:color w:val="auto"/>
                      <w:szCs w:val="21"/>
                      <w:bdr w:val="none" w:color="auto" w:sz="0" w:space="0"/>
                      <w:lang w:val="en-US"/>
                    </w:rPr>
                  </w:pPr>
                  <w:r>
                    <w:rPr>
                      <w:rFonts w:hint="default" w:ascii="Times New Roman" w:hAnsi="Times New Roman" w:eastAsia="宋体" w:cs="Times New Roman"/>
                      <w:color w:val="auto"/>
                      <w:kern w:val="2"/>
                      <w:sz w:val="21"/>
                      <w:szCs w:val="21"/>
                      <w:bdr w:val="none" w:color="auto" w:sz="0" w:space="0"/>
                      <w:lang w:val="en-US" w:eastAsia="zh-CN" w:bidi="ar"/>
                    </w:rPr>
                    <w:t>ND</w:t>
                  </w:r>
                </w:p>
              </w:tc>
            </w:tr>
          </w:tbl>
          <w:p>
            <w:pPr>
              <w:spacing w:line="500" w:lineRule="exact"/>
              <w:ind w:firstLine="420" w:firstLineChars="200"/>
              <w:rPr>
                <w:rFonts w:ascii="Times New Roman" w:hAnsi="Times New Roman" w:eastAsia="黑体" w:cs="Times New Roman"/>
                <w:szCs w:val="21"/>
              </w:rPr>
            </w:pPr>
            <w:r>
              <w:rPr>
                <w:rFonts w:ascii="Times New Roman" w:hAnsi="Times New Roman" w:eastAsia="黑体" w:cs="Times New Roman"/>
              </w:rPr>
              <w:t xml:space="preserve">表7-2     </w:t>
            </w:r>
            <w:r>
              <w:rPr>
                <w:rFonts w:hint="eastAsia" w:ascii="Times New Roman" w:hAnsi="Times New Roman" w:eastAsia="黑体" w:cs="Times New Roman"/>
                <w:lang w:val="en-US" w:eastAsia="zh-CN"/>
              </w:rPr>
              <w:t xml:space="preserve">  </w:t>
            </w:r>
            <w:r>
              <w:rPr>
                <w:rFonts w:ascii="Times New Roman" w:hAnsi="Times New Roman" w:eastAsia="黑体" w:cs="Times New Roman"/>
              </w:rPr>
              <w:t xml:space="preserve">     </w:t>
            </w:r>
            <w:r>
              <w:rPr>
                <w:rFonts w:hint="eastAsia" w:ascii="Times New Roman" w:hAnsi="Times New Roman" w:eastAsia="黑体" w:cs="Times New Roman"/>
                <w:lang w:val="en-US" w:eastAsia="zh-CN"/>
              </w:rPr>
              <w:t xml:space="preserve">  </w:t>
            </w:r>
            <w:r>
              <w:rPr>
                <w:rFonts w:ascii="Times New Roman" w:hAnsi="Times New Roman" w:eastAsia="黑体" w:cs="Times New Roman"/>
              </w:rPr>
              <w:t xml:space="preserve">  </w:t>
            </w:r>
            <w:r>
              <w:rPr>
                <w:rFonts w:ascii="Times New Roman" w:hAnsi="Times New Roman" w:eastAsia="黑体" w:cs="Times New Roman"/>
                <w:bCs/>
                <w:szCs w:val="21"/>
              </w:rPr>
              <w:t xml:space="preserve">  本项目食堂油烟废气监测结果  </w:t>
            </w:r>
            <w:r>
              <w:rPr>
                <w:rFonts w:ascii="Times New Roman" w:hAnsi="Times New Roman" w:eastAsia="黑体" w:cs="Times New Roman"/>
              </w:rPr>
              <w:t xml:space="preserve">              单位：mg/m</w:t>
            </w:r>
            <w:r>
              <w:rPr>
                <w:rFonts w:ascii="Times New Roman" w:hAnsi="Times New Roman" w:eastAsia="黑体" w:cs="Times New Roman"/>
                <w:vertAlign w:val="superscript"/>
              </w:rPr>
              <w:t>3</w:t>
            </w:r>
          </w:p>
          <w:tbl>
            <w:tblPr>
              <w:tblStyle w:val="18"/>
              <w:tblW w:w="4999"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0" w:type="dxa"/>
                <w:bottom w:w="0" w:type="dxa"/>
                <w:right w:w="0" w:type="dxa"/>
              </w:tblCellMar>
            </w:tblPr>
            <w:tblGrid>
              <w:gridCol w:w="1858"/>
              <w:gridCol w:w="1780"/>
              <w:gridCol w:w="2825"/>
              <w:gridCol w:w="2607"/>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024" w:type="pct"/>
                  <w:vMerge w:val="restart"/>
                  <w:tcBorders>
                    <w:tl2br w:val="nil"/>
                    <w:tr2bl w:val="nil"/>
                  </w:tcBorders>
                  <w:vAlign w:val="center"/>
                </w:tcPr>
                <w:p>
                  <w:pPr>
                    <w:spacing w:line="320" w:lineRule="exact"/>
                    <w:jc w:val="center"/>
                    <w:rPr>
                      <w:rFonts w:ascii="Times New Roman" w:hAnsi="Times New Roman" w:cs="Times New Roman"/>
                      <w:bCs/>
                      <w:szCs w:val="21"/>
                    </w:rPr>
                  </w:pPr>
                  <w:r>
                    <w:rPr>
                      <w:rFonts w:ascii="Times New Roman" w:hAnsi="Times New Roman" w:cs="Times New Roman"/>
                      <w:bCs/>
                      <w:szCs w:val="21"/>
                    </w:rPr>
                    <w:t>检测项目</w:t>
                  </w:r>
                </w:p>
              </w:tc>
              <w:tc>
                <w:tcPr>
                  <w:tcW w:w="3975" w:type="pct"/>
                  <w:gridSpan w:val="3"/>
                  <w:tcBorders>
                    <w:tl2br w:val="nil"/>
                    <w:tr2bl w:val="nil"/>
                  </w:tcBorders>
                  <w:vAlign w:val="center"/>
                </w:tcPr>
                <w:p>
                  <w:pPr>
                    <w:spacing w:line="320" w:lineRule="exact"/>
                    <w:jc w:val="center"/>
                    <w:rPr>
                      <w:rFonts w:ascii="Times New Roman" w:hAnsi="Times New Roman" w:cs="Times New Roman"/>
                      <w:bCs/>
                      <w:szCs w:val="21"/>
                    </w:rPr>
                  </w:pPr>
                  <w:r>
                    <w:rPr>
                      <w:rFonts w:ascii="Times New Roman" w:hAnsi="Times New Roman" w:eastAsia="宋体" w:cs="Times New Roman"/>
                      <w:bCs/>
                      <w:szCs w:val="21"/>
                    </w:rPr>
                    <w:t xml:space="preserve">食堂油烟排气筒检测结果 </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024" w:type="pct"/>
                  <w:vMerge w:val="continue"/>
                  <w:tcBorders>
                    <w:tl2br w:val="nil"/>
                    <w:tr2bl w:val="nil"/>
                  </w:tcBorders>
                  <w:vAlign w:val="center"/>
                </w:tcPr>
                <w:p>
                  <w:pPr>
                    <w:spacing w:line="320" w:lineRule="exact"/>
                    <w:jc w:val="center"/>
                    <w:rPr>
                      <w:rFonts w:ascii="Times New Roman" w:hAnsi="Times New Roman" w:cs="Times New Roman"/>
                      <w:b/>
                      <w:bCs/>
                      <w:szCs w:val="21"/>
                    </w:rPr>
                  </w:pPr>
                </w:p>
              </w:tc>
              <w:tc>
                <w:tcPr>
                  <w:tcW w:w="981"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检测时间</w:t>
                  </w:r>
                </w:p>
              </w:tc>
              <w:tc>
                <w:tcPr>
                  <w:tcW w:w="1557"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2023.05.18</w:t>
                  </w:r>
                </w:p>
              </w:tc>
              <w:tc>
                <w:tcPr>
                  <w:tcW w:w="1436"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2023.05.19</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024" w:type="pct"/>
                  <w:vMerge w:val="continue"/>
                  <w:tcBorders>
                    <w:tl2br w:val="nil"/>
                    <w:tr2bl w:val="nil"/>
                  </w:tcBorders>
                  <w:vAlign w:val="center"/>
                </w:tcPr>
                <w:p>
                  <w:pPr>
                    <w:spacing w:line="320" w:lineRule="exact"/>
                    <w:jc w:val="center"/>
                    <w:rPr>
                      <w:rFonts w:ascii="Times New Roman" w:hAnsi="Times New Roman" w:cs="Times New Roman"/>
                      <w:b/>
                      <w:bCs/>
                      <w:szCs w:val="21"/>
                    </w:rPr>
                  </w:pPr>
                </w:p>
              </w:tc>
              <w:tc>
                <w:tcPr>
                  <w:tcW w:w="981"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采样点位</w:t>
                  </w:r>
                </w:p>
              </w:tc>
              <w:tc>
                <w:tcPr>
                  <w:tcW w:w="1557"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平均浓度（mg/m³）</w:t>
                  </w:r>
                </w:p>
              </w:tc>
              <w:tc>
                <w:tcPr>
                  <w:tcW w:w="1436"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平均浓度（mg/m³）</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024"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有组织废气</w:t>
                  </w:r>
                </w:p>
              </w:tc>
              <w:tc>
                <w:tcPr>
                  <w:tcW w:w="981"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食堂油烟排放口</w:t>
                  </w:r>
                </w:p>
              </w:tc>
              <w:tc>
                <w:tcPr>
                  <w:tcW w:w="1557"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1.21</w:t>
                  </w:r>
                </w:p>
              </w:tc>
              <w:tc>
                <w:tcPr>
                  <w:tcW w:w="1436"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1.16</w:t>
                  </w:r>
                </w:p>
              </w:tc>
            </w:tr>
          </w:tbl>
          <w:p>
            <w:pPr>
              <w:spacing w:line="500" w:lineRule="exact"/>
              <w:ind w:firstLine="420" w:firstLineChars="200"/>
              <w:rPr>
                <w:rFonts w:ascii="Times New Roman" w:hAnsi="Times New Roman" w:eastAsia="黑体" w:cs="Times New Roman"/>
                <w:szCs w:val="21"/>
              </w:rPr>
            </w:pPr>
            <w:r>
              <w:rPr>
                <w:rFonts w:ascii="Times New Roman" w:hAnsi="Times New Roman" w:eastAsia="黑体" w:cs="Times New Roman"/>
              </w:rPr>
              <w:t xml:space="preserve">表7-3              </w:t>
            </w:r>
            <w:r>
              <w:rPr>
                <w:rFonts w:hint="eastAsia" w:ascii="Times New Roman" w:hAnsi="Times New Roman" w:eastAsia="黑体" w:cs="Times New Roman"/>
                <w:lang w:val="en-US" w:eastAsia="zh-CN"/>
              </w:rPr>
              <w:t xml:space="preserve">   </w:t>
            </w:r>
            <w:r>
              <w:rPr>
                <w:rFonts w:ascii="Times New Roman" w:hAnsi="Times New Roman" w:eastAsia="黑体" w:cs="Times New Roman"/>
              </w:rPr>
              <w:t xml:space="preserve">  本项目</w:t>
            </w:r>
            <w:r>
              <w:rPr>
                <w:rFonts w:ascii="Times New Roman" w:hAnsi="Times New Roman" w:eastAsia="黑体" w:cs="Times New Roman"/>
                <w:bCs/>
                <w:szCs w:val="21"/>
              </w:rPr>
              <w:t>无组织</w:t>
            </w:r>
            <w:r>
              <w:rPr>
                <w:rFonts w:ascii="Times New Roman" w:hAnsi="Times New Roman" w:eastAsia="黑体" w:cs="Times New Roman"/>
              </w:rPr>
              <w:t xml:space="preserve">废气监测结果         </w:t>
            </w:r>
            <w:r>
              <w:rPr>
                <w:rFonts w:hint="eastAsia" w:ascii="Times New Roman" w:hAnsi="Times New Roman" w:eastAsia="黑体" w:cs="Times New Roman"/>
                <w:lang w:val="en-US" w:eastAsia="zh-CN"/>
              </w:rPr>
              <w:t xml:space="preserve">   </w:t>
            </w:r>
            <w:r>
              <w:rPr>
                <w:rFonts w:ascii="Times New Roman" w:hAnsi="Times New Roman" w:eastAsia="黑体" w:cs="Times New Roman"/>
              </w:rPr>
              <w:t xml:space="preserve">     单位：mg/m</w:t>
            </w:r>
            <w:r>
              <w:rPr>
                <w:rFonts w:ascii="Times New Roman" w:hAnsi="Times New Roman" w:eastAsia="黑体" w:cs="Times New Roman"/>
                <w:vertAlign w:val="superscript"/>
              </w:rPr>
              <w:t>3</w:t>
            </w:r>
          </w:p>
          <w:tbl>
            <w:tblPr>
              <w:tblStyle w:val="19"/>
              <w:tblpPr w:vertAnchor="text" w:horzAnchor="page" w:tblpXSpec="center" w:tblpY="1"/>
              <w:tblOverlap w:val="never"/>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39"/>
              <w:gridCol w:w="1239"/>
              <w:gridCol w:w="1704"/>
              <w:gridCol w:w="33"/>
              <w:gridCol w:w="1555"/>
              <w:gridCol w:w="114"/>
              <w:gridCol w:w="36"/>
              <w:gridCol w:w="1486"/>
              <w:gridCol w:w="25"/>
              <w:gridCol w:w="164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24" w:hRule="atLeast"/>
                <w:jc w:val="center"/>
              </w:trPr>
              <w:tc>
                <w:tcPr>
                  <w:tcW w:w="5000" w:type="pct"/>
                  <w:gridSpan w:val="10"/>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bCs/>
                      <w:szCs w:val="21"/>
                    </w:rPr>
                    <w:t>厂界</w:t>
                  </w:r>
                  <w:r>
                    <w:rPr>
                      <w:rFonts w:ascii="Times New Roman" w:hAnsi="Times New Roman" w:cs="Times New Roman"/>
                      <w:bCs/>
                      <w:szCs w:val="21"/>
                    </w:rPr>
                    <w:t>环境空气</w:t>
                  </w:r>
                  <w:r>
                    <w:rPr>
                      <w:rFonts w:ascii="Times New Roman" w:hAnsi="Times New Roman" w:eastAsia="宋体" w:cs="Times New Roman"/>
                      <w:bCs/>
                      <w:szCs w:val="21"/>
                    </w:rPr>
                    <w:t>检测结果</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683" w:type="pct"/>
                  <w:vMerge w:val="restart"/>
                  <w:tcBorders>
                    <w:tl2br w:val="nil"/>
                    <w:tr2bl w:val="nil"/>
                  </w:tcBorders>
                  <w:vAlign w:val="center"/>
                </w:tcPr>
                <w:p>
                  <w:pPr>
                    <w:pStyle w:val="27"/>
                    <w:spacing w:line="240" w:lineRule="auto"/>
                    <w:ind w:firstLine="0" w:firstLineChars="0"/>
                    <w:jc w:val="center"/>
                    <w:rPr>
                      <w:rFonts w:ascii="Times New Roman" w:hAnsi="Times New Roman" w:cs="Times New Roman"/>
                      <w:color w:val="auto"/>
                      <w:szCs w:val="21"/>
                    </w:rPr>
                  </w:pPr>
                  <w:r>
                    <w:rPr>
                      <w:rFonts w:ascii="Times New Roman" w:hAnsi="Times New Roman" w:eastAsia="宋体" w:cs="Times New Roman"/>
                      <w:bCs/>
                      <w:color w:val="auto"/>
                      <w:sz w:val="21"/>
                      <w:szCs w:val="21"/>
                    </w:rPr>
                    <w:t>测试报告</w:t>
                  </w:r>
                </w:p>
              </w:tc>
              <w:tc>
                <w:tcPr>
                  <w:tcW w:w="683" w:type="pct"/>
                  <w:vAlign w:val="center"/>
                </w:tcPr>
                <w:p>
                  <w:pPr>
                    <w:jc w:val="center"/>
                    <w:rPr>
                      <w:rFonts w:ascii="Times New Roman" w:hAnsi="Times New Roman" w:cs="Times New Roman"/>
                      <w:szCs w:val="21"/>
                    </w:rPr>
                  </w:pPr>
                  <w:r>
                    <w:rPr>
                      <w:rFonts w:ascii="Times New Roman" w:hAnsi="Times New Roman" w:eastAsia="宋体" w:cs="Times New Roman"/>
                      <w:szCs w:val="21"/>
                    </w:rPr>
                    <w:t>采样点位</w:t>
                  </w:r>
                </w:p>
              </w:tc>
              <w:tc>
                <w:tcPr>
                  <w:tcW w:w="957"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w:t>
                  </w:r>
                  <w:r>
                    <w:rPr>
                      <w:rFonts w:ascii="Times New Roman" w:hAnsi="Times New Roman" w:cs="Times New Roman"/>
                      <w:szCs w:val="21"/>
                    </w:rPr>
                    <w:t>厂界上</w:t>
                  </w:r>
                  <w:r>
                    <w:rPr>
                      <w:rFonts w:ascii="Times New Roman" w:hAnsi="Times New Roman" w:eastAsia="宋体" w:cs="Times New Roman"/>
                      <w:szCs w:val="21"/>
                    </w:rPr>
                    <w:t>风向10m范围内</w:t>
                  </w:r>
                </w:p>
              </w:tc>
              <w:tc>
                <w:tcPr>
                  <w:tcW w:w="857"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2#厂界下风向10m范围内</w:t>
                  </w:r>
                </w:p>
              </w:tc>
              <w:tc>
                <w:tcPr>
                  <w:tcW w:w="902" w:type="pct"/>
                  <w:gridSpan w:val="3"/>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3#厂界下风向10m范围内</w:t>
                  </w:r>
                </w:p>
              </w:tc>
              <w:tc>
                <w:tcPr>
                  <w:tcW w:w="918"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4#厂界下风向10m范围内</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vMerge w:val="continue"/>
                  <w:tcBorders>
                    <w:tl2br w:val="nil"/>
                    <w:tr2bl w:val="nil"/>
                  </w:tcBorders>
                  <w:vAlign w:val="center"/>
                </w:tcPr>
                <w:p>
                  <w:pPr>
                    <w:pStyle w:val="27"/>
                    <w:spacing w:line="240" w:lineRule="auto"/>
                    <w:ind w:firstLine="0" w:firstLineChars="0"/>
                    <w:jc w:val="center"/>
                    <w:rPr>
                      <w:rFonts w:ascii="Times New Roman" w:hAnsi="Times New Roman" w:cs="Times New Roman"/>
                      <w:color w:val="auto"/>
                      <w:sz w:val="21"/>
                      <w:szCs w:val="21"/>
                    </w:rPr>
                  </w:pPr>
                </w:p>
              </w:tc>
              <w:tc>
                <w:tcPr>
                  <w:tcW w:w="683"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采样日期</w:t>
                  </w:r>
                </w:p>
              </w:tc>
              <w:tc>
                <w:tcPr>
                  <w:tcW w:w="957"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2023.05.18</w:t>
                  </w:r>
                </w:p>
              </w:tc>
              <w:tc>
                <w:tcPr>
                  <w:tcW w:w="857"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2023.05.18</w:t>
                  </w:r>
                </w:p>
              </w:tc>
              <w:tc>
                <w:tcPr>
                  <w:tcW w:w="902" w:type="pct"/>
                  <w:gridSpan w:val="3"/>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2023.05.18</w:t>
                  </w:r>
                </w:p>
              </w:tc>
              <w:tc>
                <w:tcPr>
                  <w:tcW w:w="918"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vMerge w:val="continue"/>
                  <w:tcBorders>
                    <w:tl2br w:val="nil"/>
                    <w:tr2bl w:val="nil"/>
                  </w:tcBorders>
                  <w:vAlign w:val="center"/>
                </w:tcPr>
                <w:p>
                  <w:pPr>
                    <w:pStyle w:val="27"/>
                    <w:spacing w:line="240" w:lineRule="auto"/>
                    <w:ind w:firstLine="0" w:firstLineChars="0"/>
                    <w:jc w:val="center"/>
                    <w:rPr>
                      <w:rFonts w:ascii="Times New Roman" w:hAnsi="Times New Roman" w:cs="Times New Roman"/>
                      <w:color w:val="auto"/>
                      <w:sz w:val="21"/>
                      <w:szCs w:val="21"/>
                    </w:rPr>
                  </w:pPr>
                </w:p>
              </w:tc>
              <w:tc>
                <w:tcPr>
                  <w:tcW w:w="683"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分析日期</w:t>
                  </w:r>
                </w:p>
              </w:tc>
              <w:tc>
                <w:tcPr>
                  <w:tcW w:w="957"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2023.05.18</w:t>
                  </w:r>
                </w:p>
              </w:tc>
              <w:tc>
                <w:tcPr>
                  <w:tcW w:w="857"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2023.05.18</w:t>
                  </w:r>
                </w:p>
              </w:tc>
              <w:tc>
                <w:tcPr>
                  <w:tcW w:w="902" w:type="pct"/>
                  <w:gridSpan w:val="3"/>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2023.05.18</w:t>
                  </w:r>
                </w:p>
              </w:tc>
              <w:tc>
                <w:tcPr>
                  <w:tcW w:w="918"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分析项目</w:t>
                  </w:r>
                </w:p>
              </w:tc>
              <w:tc>
                <w:tcPr>
                  <w:tcW w:w="683" w:type="pct"/>
                  <w:vAlign w:val="center"/>
                </w:tcPr>
                <w:p>
                  <w:pPr>
                    <w:jc w:val="center"/>
                    <w:rPr>
                      <w:rFonts w:ascii="Times New Roman" w:hAnsi="Times New Roman" w:cs="Times New Roman"/>
                      <w:szCs w:val="21"/>
                    </w:rPr>
                  </w:pPr>
                  <w:r>
                    <w:rPr>
                      <w:rFonts w:ascii="Times New Roman" w:hAnsi="Times New Roman" w:eastAsia="宋体" w:cs="Times New Roman"/>
                      <w:szCs w:val="21"/>
                    </w:rPr>
                    <w:t>单位</w:t>
                  </w:r>
                </w:p>
              </w:tc>
              <w:tc>
                <w:tcPr>
                  <w:tcW w:w="3635" w:type="pct"/>
                  <w:gridSpan w:val="8"/>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分析结果</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颗粒物</w:t>
                  </w:r>
                </w:p>
              </w:tc>
              <w:tc>
                <w:tcPr>
                  <w:tcW w:w="683" w:type="pct"/>
                  <w:vMerge w:val="restart"/>
                  <w:vAlign w:val="center"/>
                </w:tcPr>
                <w:p>
                  <w:pPr>
                    <w:jc w:val="center"/>
                    <w:rPr>
                      <w:rFonts w:ascii="Times New Roman" w:hAnsi="Times New Roman" w:cs="Times New Roman"/>
                      <w:szCs w:val="21"/>
                    </w:rPr>
                  </w:pPr>
                  <w:r>
                    <w:rPr>
                      <w:rFonts w:ascii="Times New Roman" w:hAnsi="Times New Roman" w:eastAsia="宋体" w:cs="Times New Roman"/>
                      <w:szCs w:val="21"/>
                    </w:rPr>
                    <w:t>ug/m³</w:t>
                  </w:r>
                </w:p>
              </w:tc>
              <w:tc>
                <w:tcPr>
                  <w:tcW w:w="957"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144</w:t>
                  </w:r>
                </w:p>
              </w:tc>
              <w:tc>
                <w:tcPr>
                  <w:tcW w:w="857"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163</w:t>
                  </w:r>
                </w:p>
              </w:tc>
              <w:tc>
                <w:tcPr>
                  <w:tcW w:w="902" w:type="pct"/>
                  <w:gridSpan w:val="3"/>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163</w:t>
                  </w:r>
                </w:p>
              </w:tc>
              <w:tc>
                <w:tcPr>
                  <w:tcW w:w="918"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172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vMerge w:val="continue"/>
                  <w:tcBorders>
                    <w:tl2br w:val="nil"/>
                    <w:tr2bl w:val="nil"/>
                  </w:tcBorders>
                  <w:vAlign w:val="center"/>
                </w:tcPr>
                <w:p>
                  <w:pPr>
                    <w:widowControl/>
                    <w:jc w:val="center"/>
                    <w:rPr>
                      <w:rFonts w:ascii="Times New Roman" w:hAnsi="Times New Roman" w:cs="Times New Roman"/>
                      <w:szCs w:val="21"/>
                    </w:rPr>
                  </w:pPr>
                </w:p>
              </w:tc>
              <w:tc>
                <w:tcPr>
                  <w:tcW w:w="683" w:type="pct"/>
                  <w:vMerge w:val="continue"/>
                  <w:vAlign w:val="center"/>
                </w:tcPr>
                <w:p>
                  <w:pPr>
                    <w:jc w:val="center"/>
                    <w:rPr>
                      <w:rFonts w:ascii="Times New Roman" w:hAnsi="Times New Roman" w:cs="Times New Roman"/>
                      <w:szCs w:val="21"/>
                    </w:rPr>
                  </w:pPr>
                </w:p>
              </w:tc>
              <w:tc>
                <w:tcPr>
                  <w:tcW w:w="957"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165</w:t>
                  </w:r>
                </w:p>
              </w:tc>
              <w:tc>
                <w:tcPr>
                  <w:tcW w:w="857"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155</w:t>
                  </w:r>
                </w:p>
              </w:tc>
              <w:tc>
                <w:tcPr>
                  <w:tcW w:w="902" w:type="pct"/>
                  <w:gridSpan w:val="3"/>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155</w:t>
                  </w:r>
                </w:p>
              </w:tc>
              <w:tc>
                <w:tcPr>
                  <w:tcW w:w="918"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157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vMerge w:val="continue"/>
                  <w:tcBorders>
                    <w:tl2br w:val="nil"/>
                    <w:tr2bl w:val="nil"/>
                  </w:tcBorders>
                  <w:vAlign w:val="center"/>
                </w:tcPr>
                <w:p>
                  <w:pPr>
                    <w:widowControl/>
                    <w:jc w:val="center"/>
                    <w:rPr>
                      <w:rFonts w:ascii="Times New Roman" w:hAnsi="Times New Roman" w:cs="Times New Roman"/>
                      <w:szCs w:val="21"/>
                    </w:rPr>
                  </w:pPr>
                </w:p>
              </w:tc>
              <w:tc>
                <w:tcPr>
                  <w:tcW w:w="683" w:type="pct"/>
                  <w:vMerge w:val="continue"/>
                  <w:vAlign w:val="center"/>
                </w:tcPr>
                <w:p>
                  <w:pPr>
                    <w:jc w:val="center"/>
                    <w:rPr>
                      <w:rFonts w:ascii="Times New Roman" w:hAnsi="Times New Roman" w:cs="Times New Roman"/>
                      <w:szCs w:val="21"/>
                    </w:rPr>
                  </w:pPr>
                </w:p>
              </w:tc>
              <w:tc>
                <w:tcPr>
                  <w:tcW w:w="957"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166</w:t>
                  </w:r>
                </w:p>
              </w:tc>
              <w:tc>
                <w:tcPr>
                  <w:tcW w:w="857"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159</w:t>
                  </w:r>
                </w:p>
              </w:tc>
              <w:tc>
                <w:tcPr>
                  <w:tcW w:w="902" w:type="pct"/>
                  <w:gridSpan w:val="3"/>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164</w:t>
                  </w:r>
                </w:p>
              </w:tc>
              <w:tc>
                <w:tcPr>
                  <w:tcW w:w="918"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159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vMerge w:val="restart"/>
                  <w:tcBorders>
                    <w:tl2br w:val="nil"/>
                    <w:tr2bl w:val="nil"/>
                  </w:tcBorders>
                  <w:vAlign w:val="center"/>
                </w:tcPr>
                <w:p>
                  <w:pPr>
                    <w:pStyle w:val="27"/>
                    <w:spacing w:line="240" w:lineRule="auto"/>
                    <w:ind w:firstLine="0" w:firstLineChars="0"/>
                    <w:jc w:val="center"/>
                    <w:rPr>
                      <w:rFonts w:ascii="Times New Roman" w:hAnsi="Times New Roman" w:cs="Times New Roman"/>
                      <w:color w:val="auto"/>
                      <w:sz w:val="21"/>
                      <w:szCs w:val="21"/>
                    </w:rPr>
                  </w:pPr>
                  <w:r>
                    <w:rPr>
                      <w:rFonts w:ascii="Times New Roman" w:hAnsi="Times New Roman" w:eastAsia="宋体" w:cs="Times New Roman"/>
                      <w:bCs/>
                      <w:color w:val="auto"/>
                      <w:sz w:val="21"/>
                      <w:szCs w:val="21"/>
                    </w:rPr>
                    <w:t>测试报告</w:t>
                  </w:r>
                </w:p>
              </w:tc>
              <w:tc>
                <w:tcPr>
                  <w:tcW w:w="683" w:type="pct"/>
                  <w:vAlign w:val="center"/>
                </w:tcPr>
                <w:p>
                  <w:pPr>
                    <w:jc w:val="center"/>
                    <w:rPr>
                      <w:rFonts w:ascii="Times New Roman" w:hAnsi="Times New Roman" w:cs="Times New Roman"/>
                      <w:szCs w:val="21"/>
                    </w:rPr>
                  </w:pPr>
                  <w:r>
                    <w:rPr>
                      <w:rFonts w:ascii="Times New Roman" w:hAnsi="Times New Roman" w:eastAsia="宋体" w:cs="Times New Roman"/>
                      <w:szCs w:val="21"/>
                    </w:rPr>
                    <w:t>采样点位</w:t>
                  </w:r>
                </w:p>
              </w:tc>
              <w:tc>
                <w:tcPr>
                  <w:tcW w:w="957"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w:t>
                  </w:r>
                  <w:r>
                    <w:rPr>
                      <w:rFonts w:ascii="Times New Roman" w:hAnsi="Times New Roman" w:cs="Times New Roman"/>
                      <w:szCs w:val="21"/>
                    </w:rPr>
                    <w:t>厂界上</w:t>
                  </w:r>
                  <w:r>
                    <w:rPr>
                      <w:rFonts w:ascii="Times New Roman" w:hAnsi="Times New Roman" w:eastAsia="宋体" w:cs="Times New Roman"/>
                      <w:szCs w:val="21"/>
                    </w:rPr>
                    <w:t>风向10m范围内</w:t>
                  </w:r>
                </w:p>
              </w:tc>
              <w:tc>
                <w:tcPr>
                  <w:tcW w:w="857"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2#厂界下风向10m范围内</w:t>
                  </w:r>
                </w:p>
              </w:tc>
              <w:tc>
                <w:tcPr>
                  <w:tcW w:w="902" w:type="pct"/>
                  <w:gridSpan w:val="3"/>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3#厂界下风向10m范围内</w:t>
                  </w:r>
                </w:p>
              </w:tc>
              <w:tc>
                <w:tcPr>
                  <w:tcW w:w="918"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4#厂界下风向10m范围内</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vMerge w:val="continue"/>
                  <w:tcBorders>
                    <w:tl2br w:val="nil"/>
                    <w:tr2bl w:val="nil"/>
                  </w:tcBorders>
                  <w:vAlign w:val="center"/>
                </w:tcPr>
                <w:p>
                  <w:pPr>
                    <w:pStyle w:val="27"/>
                    <w:spacing w:line="240" w:lineRule="auto"/>
                    <w:ind w:firstLine="0" w:firstLineChars="0"/>
                    <w:jc w:val="center"/>
                    <w:rPr>
                      <w:rFonts w:ascii="Times New Roman" w:hAnsi="Times New Roman" w:cs="Times New Roman"/>
                      <w:color w:val="auto"/>
                      <w:sz w:val="21"/>
                      <w:szCs w:val="21"/>
                    </w:rPr>
                  </w:pPr>
                </w:p>
              </w:tc>
              <w:tc>
                <w:tcPr>
                  <w:tcW w:w="683" w:type="pct"/>
                  <w:vAlign w:val="center"/>
                </w:tcPr>
                <w:p>
                  <w:pPr>
                    <w:jc w:val="center"/>
                    <w:rPr>
                      <w:rFonts w:ascii="Times New Roman" w:hAnsi="Times New Roman" w:cs="Times New Roman"/>
                      <w:szCs w:val="21"/>
                    </w:rPr>
                  </w:pPr>
                  <w:r>
                    <w:rPr>
                      <w:rFonts w:ascii="Times New Roman" w:hAnsi="Times New Roman" w:eastAsia="宋体" w:cs="Times New Roman"/>
                      <w:szCs w:val="21"/>
                    </w:rPr>
                    <w:t>采样日期</w:t>
                  </w:r>
                </w:p>
              </w:tc>
              <w:tc>
                <w:tcPr>
                  <w:tcW w:w="957"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2023.05.19</w:t>
                  </w:r>
                </w:p>
              </w:tc>
              <w:tc>
                <w:tcPr>
                  <w:tcW w:w="857"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2023.05.19</w:t>
                  </w:r>
                </w:p>
              </w:tc>
              <w:tc>
                <w:tcPr>
                  <w:tcW w:w="902" w:type="pct"/>
                  <w:gridSpan w:val="3"/>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2023.05.19</w:t>
                  </w:r>
                </w:p>
              </w:tc>
              <w:tc>
                <w:tcPr>
                  <w:tcW w:w="918"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vMerge w:val="continue"/>
                  <w:tcBorders>
                    <w:tl2br w:val="nil"/>
                    <w:tr2bl w:val="nil"/>
                  </w:tcBorders>
                  <w:vAlign w:val="center"/>
                </w:tcPr>
                <w:p>
                  <w:pPr>
                    <w:pStyle w:val="27"/>
                    <w:spacing w:line="240" w:lineRule="auto"/>
                    <w:ind w:firstLine="0" w:firstLineChars="0"/>
                    <w:jc w:val="center"/>
                    <w:rPr>
                      <w:rFonts w:ascii="Times New Roman" w:hAnsi="Times New Roman" w:cs="Times New Roman"/>
                      <w:color w:val="auto"/>
                      <w:sz w:val="21"/>
                      <w:szCs w:val="21"/>
                    </w:rPr>
                  </w:pPr>
                </w:p>
              </w:tc>
              <w:tc>
                <w:tcPr>
                  <w:tcW w:w="683" w:type="pct"/>
                  <w:vAlign w:val="center"/>
                </w:tcPr>
                <w:p>
                  <w:pPr>
                    <w:jc w:val="center"/>
                    <w:rPr>
                      <w:rFonts w:ascii="Times New Roman" w:hAnsi="Times New Roman" w:cs="Times New Roman"/>
                      <w:szCs w:val="21"/>
                    </w:rPr>
                  </w:pPr>
                  <w:r>
                    <w:rPr>
                      <w:rFonts w:ascii="Times New Roman" w:hAnsi="Times New Roman" w:eastAsia="宋体" w:cs="Times New Roman"/>
                      <w:szCs w:val="21"/>
                    </w:rPr>
                    <w:t>分析日期</w:t>
                  </w:r>
                </w:p>
              </w:tc>
              <w:tc>
                <w:tcPr>
                  <w:tcW w:w="957"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2023.05.19</w:t>
                  </w:r>
                </w:p>
              </w:tc>
              <w:tc>
                <w:tcPr>
                  <w:tcW w:w="857"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2023.05.19</w:t>
                  </w:r>
                </w:p>
              </w:tc>
              <w:tc>
                <w:tcPr>
                  <w:tcW w:w="902" w:type="pct"/>
                  <w:gridSpan w:val="3"/>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2023.05.19</w:t>
                  </w:r>
                </w:p>
              </w:tc>
              <w:tc>
                <w:tcPr>
                  <w:tcW w:w="918"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分析项目</w:t>
                  </w:r>
                </w:p>
              </w:tc>
              <w:tc>
                <w:tcPr>
                  <w:tcW w:w="683" w:type="pct"/>
                  <w:vAlign w:val="center"/>
                </w:tcPr>
                <w:p>
                  <w:pPr>
                    <w:jc w:val="center"/>
                    <w:rPr>
                      <w:rFonts w:ascii="Times New Roman" w:hAnsi="Times New Roman" w:cs="Times New Roman"/>
                      <w:szCs w:val="21"/>
                    </w:rPr>
                  </w:pPr>
                  <w:r>
                    <w:rPr>
                      <w:rFonts w:ascii="Times New Roman" w:hAnsi="Times New Roman" w:eastAsia="宋体" w:cs="Times New Roman"/>
                      <w:szCs w:val="21"/>
                    </w:rPr>
                    <w:t>单位</w:t>
                  </w:r>
                </w:p>
              </w:tc>
              <w:tc>
                <w:tcPr>
                  <w:tcW w:w="3635" w:type="pct"/>
                  <w:gridSpan w:val="8"/>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分析结果</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颗粒物</w:t>
                  </w:r>
                </w:p>
              </w:tc>
              <w:tc>
                <w:tcPr>
                  <w:tcW w:w="683" w:type="pct"/>
                  <w:vMerge w:val="restart"/>
                  <w:vAlign w:val="center"/>
                </w:tcPr>
                <w:p>
                  <w:pPr>
                    <w:jc w:val="center"/>
                    <w:rPr>
                      <w:rFonts w:ascii="Times New Roman" w:hAnsi="Times New Roman" w:cs="Times New Roman"/>
                      <w:szCs w:val="21"/>
                    </w:rPr>
                  </w:pPr>
                  <w:r>
                    <w:rPr>
                      <w:rFonts w:ascii="Times New Roman" w:hAnsi="Times New Roman" w:eastAsia="宋体" w:cs="Times New Roman"/>
                      <w:szCs w:val="21"/>
                    </w:rPr>
                    <w:t>ug/m³</w:t>
                  </w:r>
                </w:p>
              </w:tc>
              <w:tc>
                <w:tcPr>
                  <w:tcW w:w="939"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163</w:t>
                  </w:r>
                </w:p>
              </w:tc>
              <w:tc>
                <w:tcPr>
                  <w:tcW w:w="938" w:type="pct"/>
                  <w:gridSpan w:val="3"/>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170</w:t>
                  </w:r>
                </w:p>
              </w:tc>
              <w:tc>
                <w:tcPr>
                  <w:tcW w:w="853" w:type="pct"/>
                  <w:gridSpan w:val="3"/>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158</w:t>
                  </w:r>
                </w:p>
              </w:tc>
              <w:tc>
                <w:tcPr>
                  <w:tcW w:w="904"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vMerge w:val="continue"/>
                  <w:tcBorders>
                    <w:tl2br w:val="nil"/>
                    <w:tr2bl w:val="nil"/>
                  </w:tcBorders>
                  <w:vAlign w:val="center"/>
                </w:tcPr>
                <w:p>
                  <w:pPr>
                    <w:widowControl/>
                    <w:jc w:val="center"/>
                    <w:rPr>
                      <w:rFonts w:ascii="Times New Roman" w:hAnsi="Times New Roman" w:cs="Times New Roman"/>
                      <w:szCs w:val="21"/>
                    </w:rPr>
                  </w:pPr>
                </w:p>
              </w:tc>
              <w:tc>
                <w:tcPr>
                  <w:tcW w:w="683" w:type="pct"/>
                  <w:vMerge w:val="continue"/>
                  <w:vAlign w:val="center"/>
                </w:tcPr>
                <w:p>
                  <w:pPr>
                    <w:jc w:val="center"/>
                    <w:rPr>
                      <w:rFonts w:ascii="Times New Roman" w:hAnsi="Times New Roman" w:cs="Times New Roman"/>
                      <w:szCs w:val="21"/>
                    </w:rPr>
                  </w:pPr>
                </w:p>
              </w:tc>
              <w:tc>
                <w:tcPr>
                  <w:tcW w:w="939"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156</w:t>
                  </w:r>
                </w:p>
              </w:tc>
              <w:tc>
                <w:tcPr>
                  <w:tcW w:w="938" w:type="pct"/>
                  <w:gridSpan w:val="3"/>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164</w:t>
                  </w:r>
                </w:p>
              </w:tc>
              <w:tc>
                <w:tcPr>
                  <w:tcW w:w="853" w:type="pct"/>
                  <w:gridSpan w:val="3"/>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148</w:t>
                  </w:r>
                </w:p>
              </w:tc>
              <w:tc>
                <w:tcPr>
                  <w:tcW w:w="904"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153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vMerge w:val="continue"/>
                  <w:tcBorders>
                    <w:tl2br w:val="nil"/>
                    <w:tr2bl w:val="nil"/>
                  </w:tcBorders>
                  <w:vAlign w:val="center"/>
                </w:tcPr>
                <w:p>
                  <w:pPr>
                    <w:widowControl/>
                    <w:jc w:val="center"/>
                    <w:rPr>
                      <w:rFonts w:ascii="Times New Roman" w:hAnsi="Times New Roman" w:cs="Times New Roman"/>
                      <w:szCs w:val="21"/>
                    </w:rPr>
                  </w:pPr>
                </w:p>
              </w:tc>
              <w:tc>
                <w:tcPr>
                  <w:tcW w:w="683" w:type="pct"/>
                  <w:vMerge w:val="continue"/>
                  <w:vAlign w:val="center"/>
                </w:tcPr>
                <w:p>
                  <w:pPr>
                    <w:jc w:val="center"/>
                    <w:rPr>
                      <w:rFonts w:ascii="Times New Roman" w:hAnsi="Times New Roman" w:cs="Times New Roman"/>
                      <w:szCs w:val="21"/>
                    </w:rPr>
                  </w:pPr>
                </w:p>
              </w:tc>
              <w:tc>
                <w:tcPr>
                  <w:tcW w:w="939"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170</w:t>
                  </w:r>
                </w:p>
              </w:tc>
              <w:tc>
                <w:tcPr>
                  <w:tcW w:w="938" w:type="pct"/>
                  <w:gridSpan w:val="3"/>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161</w:t>
                  </w:r>
                </w:p>
              </w:tc>
              <w:tc>
                <w:tcPr>
                  <w:tcW w:w="853" w:type="pct"/>
                  <w:gridSpan w:val="3"/>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149</w:t>
                  </w:r>
                </w:p>
              </w:tc>
              <w:tc>
                <w:tcPr>
                  <w:tcW w:w="904"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156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683" w:type="pct"/>
                  <w:vMerge w:val="restart"/>
                  <w:tcBorders>
                    <w:tl2br w:val="nil"/>
                    <w:tr2bl w:val="nil"/>
                  </w:tcBorders>
                  <w:vAlign w:val="center"/>
                </w:tcPr>
                <w:p>
                  <w:pPr>
                    <w:pStyle w:val="27"/>
                    <w:spacing w:line="240" w:lineRule="auto"/>
                    <w:ind w:firstLine="0" w:firstLineChars="0"/>
                    <w:jc w:val="center"/>
                    <w:rPr>
                      <w:rFonts w:ascii="Times New Roman" w:hAnsi="Times New Roman" w:cs="Times New Roman"/>
                      <w:color w:val="auto"/>
                      <w:sz w:val="21"/>
                      <w:szCs w:val="21"/>
                    </w:rPr>
                  </w:pPr>
                  <w:r>
                    <w:rPr>
                      <w:rFonts w:ascii="Times New Roman" w:hAnsi="Times New Roman" w:eastAsia="宋体" w:cs="Times New Roman"/>
                      <w:color w:val="auto"/>
                      <w:sz w:val="21"/>
                      <w:szCs w:val="21"/>
                    </w:rPr>
                    <w:t>测试报告</w:t>
                  </w:r>
                </w:p>
              </w:tc>
              <w:tc>
                <w:tcPr>
                  <w:tcW w:w="683" w:type="pct"/>
                  <w:vAlign w:val="center"/>
                </w:tcPr>
                <w:p>
                  <w:pPr>
                    <w:pStyle w:val="27"/>
                    <w:spacing w:line="240" w:lineRule="auto"/>
                    <w:ind w:firstLine="0" w:firstLineChars="0"/>
                    <w:jc w:val="center"/>
                    <w:rPr>
                      <w:rFonts w:ascii="Times New Roman" w:hAnsi="Times New Roman" w:cs="Times New Roman"/>
                      <w:color w:val="auto"/>
                      <w:sz w:val="21"/>
                      <w:szCs w:val="21"/>
                    </w:rPr>
                  </w:pPr>
                  <w:r>
                    <w:rPr>
                      <w:rFonts w:ascii="Times New Roman" w:hAnsi="Times New Roman" w:eastAsia="宋体" w:cs="Times New Roman"/>
                      <w:color w:val="auto"/>
                      <w:sz w:val="21"/>
                      <w:szCs w:val="21"/>
                    </w:rPr>
                    <w:t>采样点位</w:t>
                  </w:r>
                </w:p>
              </w:tc>
              <w:tc>
                <w:tcPr>
                  <w:tcW w:w="939"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1#厂界上风向</w:t>
                  </w:r>
                </w:p>
              </w:tc>
              <w:tc>
                <w:tcPr>
                  <w:tcW w:w="938" w:type="pct"/>
                  <w:gridSpan w:val="3"/>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2#厂界下风向</w:t>
                  </w:r>
                </w:p>
              </w:tc>
              <w:tc>
                <w:tcPr>
                  <w:tcW w:w="853" w:type="pct"/>
                  <w:gridSpan w:val="3"/>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3#厂界下风向</w:t>
                  </w:r>
                </w:p>
              </w:tc>
              <w:tc>
                <w:tcPr>
                  <w:tcW w:w="904"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4#厂界下风向</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vMerge w:val="continue"/>
                  <w:tcBorders>
                    <w:tl2br w:val="nil"/>
                    <w:tr2bl w:val="nil"/>
                  </w:tcBorders>
                  <w:vAlign w:val="center"/>
                </w:tcPr>
                <w:p>
                  <w:pPr>
                    <w:pStyle w:val="27"/>
                    <w:spacing w:line="240" w:lineRule="auto"/>
                    <w:ind w:firstLine="0" w:firstLineChars="0"/>
                    <w:jc w:val="center"/>
                    <w:rPr>
                      <w:rFonts w:ascii="Times New Roman" w:hAnsi="Times New Roman" w:cs="Times New Roman"/>
                      <w:color w:val="auto"/>
                      <w:sz w:val="21"/>
                      <w:szCs w:val="21"/>
                    </w:rPr>
                  </w:pPr>
                </w:p>
              </w:tc>
              <w:tc>
                <w:tcPr>
                  <w:tcW w:w="683" w:type="pct"/>
                  <w:tcBorders>
                    <w:tl2br w:val="nil"/>
                    <w:tr2bl w:val="nil"/>
                  </w:tcBorders>
                  <w:vAlign w:val="center"/>
                </w:tcPr>
                <w:p>
                  <w:pPr>
                    <w:pStyle w:val="27"/>
                    <w:spacing w:line="240" w:lineRule="auto"/>
                    <w:ind w:firstLine="0" w:firstLineChars="0"/>
                    <w:jc w:val="center"/>
                    <w:rPr>
                      <w:rFonts w:ascii="Times New Roman" w:hAnsi="Times New Roman" w:cs="Times New Roman"/>
                      <w:color w:val="auto"/>
                      <w:sz w:val="21"/>
                      <w:szCs w:val="21"/>
                    </w:rPr>
                  </w:pPr>
                  <w:r>
                    <w:rPr>
                      <w:rFonts w:ascii="Times New Roman" w:hAnsi="Times New Roman" w:eastAsia="宋体" w:cs="Times New Roman"/>
                      <w:color w:val="auto"/>
                      <w:sz w:val="21"/>
                      <w:szCs w:val="21"/>
                    </w:rPr>
                    <w:t>分析项目</w:t>
                  </w:r>
                </w:p>
              </w:tc>
              <w:tc>
                <w:tcPr>
                  <w:tcW w:w="3635" w:type="pct"/>
                  <w:gridSpan w:val="8"/>
                  <w:tcBorders>
                    <w:tl2br w:val="nil"/>
                    <w:tr2bl w:val="nil"/>
                  </w:tcBorders>
                  <w:vAlign w:val="center"/>
                </w:tcPr>
                <w:p>
                  <w:pPr>
                    <w:pStyle w:val="27"/>
                    <w:spacing w:line="240" w:lineRule="auto"/>
                    <w:ind w:firstLine="0" w:firstLineChars="0"/>
                    <w:jc w:val="center"/>
                    <w:rPr>
                      <w:rFonts w:ascii="Times New Roman" w:hAnsi="Times New Roman" w:cs="Times New Roman"/>
                      <w:color w:val="auto"/>
                      <w:sz w:val="21"/>
                      <w:szCs w:val="21"/>
                    </w:rPr>
                  </w:pPr>
                  <w:r>
                    <w:rPr>
                      <w:rFonts w:ascii="Times New Roman" w:hAnsi="Times New Roman" w:eastAsia="宋体" w:cs="Times New Roman"/>
                      <w:color w:val="auto"/>
                      <w:sz w:val="21"/>
                      <w:szCs w:val="21"/>
                    </w:rPr>
                    <w:t>苯并（a）芘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vMerge w:val="continue"/>
                  <w:tcBorders>
                    <w:tl2br w:val="nil"/>
                    <w:tr2bl w:val="nil"/>
                  </w:tcBorders>
                  <w:vAlign w:val="center"/>
                </w:tcPr>
                <w:p>
                  <w:pPr>
                    <w:pStyle w:val="27"/>
                    <w:spacing w:line="240" w:lineRule="auto"/>
                    <w:ind w:firstLine="0" w:firstLineChars="0"/>
                    <w:jc w:val="center"/>
                    <w:rPr>
                      <w:rFonts w:ascii="Times New Roman" w:hAnsi="Times New Roman" w:cs="Times New Roman"/>
                      <w:color w:val="auto"/>
                      <w:sz w:val="21"/>
                      <w:szCs w:val="21"/>
                    </w:rPr>
                  </w:pPr>
                </w:p>
              </w:tc>
              <w:tc>
                <w:tcPr>
                  <w:tcW w:w="683" w:type="pct"/>
                  <w:tcBorders>
                    <w:tl2br w:val="nil"/>
                    <w:tr2bl w:val="nil"/>
                  </w:tcBorders>
                  <w:vAlign w:val="center"/>
                </w:tcPr>
                <w:p>
                  <w:pPr>
                    <w:pStyle w:val="27"/>
                    <w:spacing w:line="240" w:lineRule="auto"/>
                    <w:ind w:firstLine="0" w:firstLineChars="0"/>
                    <w:jc w:val="center"/>
                    <w:rPr>
                      <w:rFonts w:ascii="Times New Roman" w:hAnsi="Times New Roman" w:cs="Times New Roman"/>
                      <w:color w:val="auto"/>
                      <w:sz w:val="21"/>
                      <w:szCs w:val="21"/>
                    </w:rPr>
                  </w:pPr>
                  <w:r>
                    <w:rPr>
                      <w:rFonts w:ascii="Times New Roman" w:hAnsi="Times New Roman" w:eastAsia="宋体" w:cs="Times New Roman"/>
                      <w:color w:val="auto"/>
                      <w:sz w:val="21"/>
                      <w:szCs w:val="21"/>
                    </w:rPr>
                    <w:t>单位</w:t>
                  </w:r>
                </w:p>
              </w:tc>
              <w:tc>
                <w:tcPr>
                  <w:tcW w:w="3635" w:type="pct"/>
                  <w:gridSpan w:val="8"/>
                  <w:tcBorders>
                    <w:tl2br w:val="nil"/>
                    <w:tr2bl w:val="nil"/>
                  </w:tcBorders>
                  <w:vAlign w:val="center"/>
                </w:tcPr>
                <w:p>
                  <w:pPr>
                    <w:pStyle w:val="27"/>
                    <w:spacing w:line="240" w:lineRule="auto"/>
                    <w:ind w:firstLine="0" w:firstLineChars="0"/>
                    <w:jc w:val="center"/>
                    <w:rPr>
                      <w:rFonts w:ascii="Times New Roman" w:hAnsi="Times New Roman" w:cs="Times New Roman"/>
                      <w:color w:val="auto"/>
                      <w:sz w:val="21"/>
                      <w:szCs w:val="21"/>
                    </w:rPr>
                  </w:pPr>
                  <w:r>
                    <w:rPr>
                      <w:rFonts w:ascii="Times New Roman" w:hAnsi="Times New Roman" w:eastAsia="宋体" w:cs="Times New Roman"/>
                      <w:color w:val="auto"/>
                      <w:sz w:val="21"/>
                      <w:szCs w:val="21"/>
                    </w:rPr>
                    <w:t>ng/m³</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tcBorders>
                    <w:tl2br w:val="nil"/>
                    <w:tr2bl w:val="nil"/>
                  </w:tcBorders>
                  <w:vAlign w:val="center"/>
                </w:tcPr>
                <w:p>
                  <w:pPr>
                    <w:pStyle w:val="27"/>
                    <w:spacing w:line="240" w:lineRule="auto"/>
                    <w:ind w:firstLine="0" w:firstLineChars="0"/>
                    <w:jc w:val="center"/>
                    <w:rPr>
                      <w:rFonts w:ascii="Times New Roman" w:hAnsi="Times New Roman" w:cs="Times New Roman"/>
                      <w:color w:val="auto"/>
                      <w:sz w:val="21"/>
                      <w:szCs w:val="21"/>
                    </w:rPr>
                  </w:pPr>
                  <w:r>
                    <w:rPr>
                      <w:rFonts w:ascii="Times New Roman" w:hAnsi="Times New Roman" w:eastAsia="宋体" w:cs="Times New Roman"/>
                      <w:color w:val="auto"/>
                      <w:sz w:val="21"/>
                      <w:szCs w:val="21"/>
                    </w:rPr>
                    <w:t>采样日期</w:t>
                  </w:r>
                </w:p>
              </w:tc>
              <w:tc>
                <w:tcPr>
                  <w:tcW w:w="683" w:type="pct"/>
                  <w:vAlign w:val="center"/>
                </w:tcPr>
                <w:p>
                  <w:pPr>
                    <w:pStyle w:val="27"/>
                    <w:spacing w:line="240" w:lineRule="auto"/>
                    <w:ind w:firstLine="0" w:firstLineChars="0"/>
                    <w:jc w:val="center"/>
                    <w:rPr>
                      <w:rFonts w:ascii="Times New Roman" w:hAnsi="Times New Roman" w:cs="Times New Roman"/>
                      <w:color w:val="auto"/>
                      <w:sz w:val="21"/>
                      <w:szCs w:val="21"/>
                    </w:rPr>
                  </w:pPr>
                  <w:r>
                    <w:rPr>
                      <w:rFonts w:ascii="Times New Roman" w:hAnsi="Times New Roman" w:eastAsia="宋体" w:cs="Times New Roman"/>
                      <w:color w:val="auto"/>
                      <w:sz w:val="21"/>
                      <w:szCs w:val="21"/>
                    </w:rPr>
                    <w:t>分析日期</w:t>
                  </w:r>
                </w:p>
              </w:tc>
              <w:tc>
                <w:tcPr>
                  <w:tcW w:w="3635" w:type="pct"/>
                  <w:gridSpan w:val="8"/>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分析结果</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vMerge w:val="restart"/>
                  <w:tcBorders>
                    <w:tl2br w:val="nil"/>
                    <w:tr2bl w:val="nil"/>
                  </w:tcBorders>
                  <w:vAlign w:val="center"/>
                </w:tcPr>
                <w:p>
                  <w:pPr>
                    <w:widowControl/>
                    <w:jc w:val="center"/>
                    <w:rPr>
                      <w:rFonts w:ascii="Times New Roman" w:hAnsi="Times New Roman" w:cs="Times New Roman"/>
                      <w:szCs w:val="21"/>
                    </w:rPr>
                  </w:pPr>
                  <w:r>
                    <w:rPr>
                      <w:rFonts w:ascii="Times New Roman" w:hAnsi="Times New Roman" w:eastAsia="宋体" w:cs="Times New Roman"/>
                      <w:szCs w:val="21"/>
                    </w:rPr>
                    <w:t>2023.05.18</w:t>
                  </w:r>
                </w:p>
              </w:tc>
              <w:tc>
                <w:tcPr>
                  <w:tcW w:w="683" w:type="pct"/>
                  <w:vMerge w:val="restart"/>
                  <w:vAlign w:val="center"/>
                </w:tcPr>
                <w:p>
                  <w:pPr>
                    <w:pStyle w:val="27"/>
                    <w:spacing w:line="240" w:lineRule="auto"/>
                    <w:ind w:firstLine="0" w:firstLineChars="0"/>
                    <w:jc w:val="center"/>
                    <w:rPr>
                      <w:rFonts w:ascii="Times New Roman" w:hAnsi="Times New Roman" w:cs="Times New Roman"/>
                      <w:color w:val="auto"/>
                      <w:sz w:val="21"/>
                      <w:szCs w:val="21"/>
                    </w:rPr>
                  </w:pPr>
                  <w:r>
                    <w:rPr>
                      <w:rFonts w:ascii="Times New Roman" w:hAnsi="Times New Roman" w:eastAsia="宋体" w:cs="Times New Roman"/>
                      <w:color w:val="auto"/>
                      <w:sz w:val="21"/>
                      <w:szCs w:val="21"/>
                    </w:rPr>
                    <w:t>2023.05.18</w:t>
                  </w:r>
                </w:p>
              </w:tc>
              <w:tc>
                <w:tcPr>
                  <w:tcW w:w="939"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c>
                <w:tcPr>
                  <w:tcW w:w="958" w:type="pct"/>
                  <w:gridSpan w:val="4"/>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c>
                <w:tcPr>
                  <w:tcW w:w="833"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c>
                <w:tcPr>
                  <w:tcW w:w="904"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vMerge w:val="continue"/>
                  <w:tcBorders>
                    <w:tl2br w:val="nil"/>
                    <w:tr2bl w:val="nil"/>
                  </w:tcBorders>
                  <w:vAlign w:val="center"/>
                </w:tcPr>
                <w:p>
                  <w:pPr>
                    <w:widowControl/>
                    <w:jc w:val="center"/>
                    <w:rPr>
                      <w:rFonts w:ascii="Times New Roman" w:hAnsi="Times New Roman" w:cs="Times New Roman"/>
                      <w:szCs w:val="21"/>
                    </w:rPr>
                  </w:pPr>
                </w:p>
              </w:tc>
              <w:tc>
                <w:tcPr>
                  <w:tcW w:w="683" w:type="pct"/>
                  <w:vMerge w:val="continue"/>
                  <w:vAlign w:val="center"/>
                </w:tcPr>
                <w:p>
                  <w:pPr>
                    <w:pStyle w:val="27"/>
                    <w:spacing w:line="240" w:lineRule="auto"/>
                    <w:ind w:firstLine="0" w:firstLineChars="0"/>
                    <w:jc w:val="center"/>
                    <w:rPr>
                      <w:rFonts w:ascii="Times New Roman" w:hAnsi="Times New Roman" w:cs="Times New Roman"/>
                      <w:color w:val="auto"/>
                      <w:sz w:val="21"/>
                      <w:szCs w:val="21"/>
                    </w:rPr>
                  </w:pPr>
                </w:p>
              </w:tc>
              <w:tc>
                <w:tcPr>
                  <w:tcW w:w="939"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c>
                <w:tcPr>
                  <w:tcW w:w="958" w:type="pct"/>
                  <w:gridSpan w:val="4"/>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c>
                <w:tcPr>
                  <w:tcW w:w="833"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c>
                <w:tcPr>
                  <w:tcW w:w="904"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vMerge w:val="continue"/>
                  <w:tcBorders>
                    <w:tl2br w:val="nil"/>
                    <w:tr2bl w:val="nil"/>
                  </w:tcBorders>
                  <w:vAlign w:val="center"/>
                </w:tcPr>
                <w:p>
                  <w:pPr>
                    <w:widowControl/>
                    <w:jc w:val="center"/>
                    <w:rPr>
                      <w:rFonts w:ascii="Times New Roman" w:hAnsi="Times New Roman" w:cs="Times New Roman"/>
                      <w:szCs w:val="21"/>
                    </w:rPr>
                  </w:pPr>
                </w:p>
              </w:tc>
              <w:tc>
                <w:tcPr>
                  <w:tcW w:w="683" w:type="pct"/>
                  <w:vMerge w:val="continue"/>
                  <w:vAlign w:val="center"/>
                </w:tcPr>
                <w:p>
                  <w:pPr>
                    <w:pStyle w:val="27"/>
                    <w:spacing w:line="240" w:lineRule="auto"/>
                    <w:ind w:firstLine="0" w:firstLineChars="0"/>
                    <w:jc w:val="center"/>
                    <w:rPr>
                      <w:rFonts w:ascii="Times New Roman" w:hAnsi="Times New Roman" w:cs="Times New Roman"/>
                      <w:color w:val="auto"/>
                      <w:sz w:val="21"/>
                      <w:szCs w:val="21"/>
                    </w:rPr>
                  </w:pPr>
                </w:p>
              </w:tc>
              <w:tc>
                <w:tcPr>
                  <w:tcW w:w="939"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c>
                <w:tcPr>
                  <w:tcW w:w="958" w:type="pct"/>
                  <w:gridSpan w:val="4"/>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c>
                <w:tcPr>
                  <w:tcW w:w="833"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c>
                <w:tcPr>
                  <w:tcW w:w="904"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vMerge w:val="restart"/>
                  <w:tcBorders>
                    <w:tl2br w:val="nil"/>
                    <w:tr2bl w:val="nil"/>
                  </w:tcBorders>
                  <w:vAlign w:val="center"/>
                </w:tcPr>
                <w:p>
                  <w:pPr>
                    <w:widowControl/>
                    <w:jc w:val="center"/>
                    <w:rPr>
                      <w:rFonts w:ascii="Times New Roman" w:hAnsi="Times New Roman" w:cs="Times New Roman"/>
                      <w:szCs w:val="21"/>
                    </w:rPr>
                  </w:pPr>
                  <w:r>
                    <w:rPr>
                      <w:rFonts w:ascii="Times New Roman" w:hAnsi="Times New Roman" w:eastAsia="宋体" w:cs="Times New Roman"/>
                      <w:szCs w:val="21"/>
                    </w:rPr>
                    <w:t>2023.05.1</w:t>
                  </w:r>
                  <w:r>
                    <w:rPr>
                      <w:rFonts w:ascii="Times New Roman" w:hAnsi="Times New Roman" w:cs="Times New Roman"/>
                      <w:szCs w:val="21"/>
                    </w:rPr>
                    <w:t>9</w:t>
                  </w:r>
                </w:p>
              </w:tc>
              <w:tc>
                <w:tcPr>
                  <w:tcW w:w="683" w:type="pct"/>
                  <w:vMerge w:val="restart"/>
                  <w:vAlign w:val="center"/>
                </w:tcPr>
                <w:p>
                  <w:pPr>
                    <w:pStyle w:val="27"/>
                    <w:spacing w:line="240" w:lineRule="auto"/>
                    <w:ind w:firstLine="0" w:firstLineChars="0"/>
                    <w:jc w:val="center"/>
                    <w:rPr>
                      <w:rFonts w:ascii="Times New Roman" w:hAnsi="Times New Roman" w:cs="Times New Roman"/>
                      <w:color w:val="auto"/>
                      <w:sz w:val="21"/>
                      <w:szCs w:val="21"/>
                    </w:rPr>
                  </w:pPr>
                  <w:r>
                    <w:rPr>
                      <w:rFonts w:ascii="Times New Roman" w:hAnsi="Times New Roman" w:eastAsia="宋体" w:cs="Times New Roman"/>
                      <w:color w:val="auto"/>
                      <w:sz w:val="21"/>
                      <w:szCs w:val="21"/>
                    </w:rPr>
                    <w:t>2023.05.1</w:t>
                  </w:r>
                  <w:r>
                    <w:rPr>
                      <w:rFonts w:ascii="Times New Roman" w:hAnsi="Times New Roman" w:cs="Times New Roman"/>
                      <w:color w:val="auto"/>
                      <w:sz w:val="21"/>
                      <w:szCs w:val="21"/>
                    </w:rPr>
                    <w:t>9</w:t>
                  </w:r>
                </w:p>
              </w:tc>
              <w:tc>
                <w:tcPr>
                  <w:tcW w:w="939"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c>
                <w:tcPr>
                  <w:tcW w:w="958" w:type="pct"/>
                  <w:gridSpan w:val="4"/>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c>
                <w:tcPr>
                  <w:tcW w:w="833"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c>
                <w:tcPr>
                  <w:tcW w:w="904"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vMerge w:val="continue"/>
                  <w:tcBorders>
                    <w:tl2br w:val="nil"/>
                    <w:tr2bl w:val="nil"/>
                  </w:tcBorders>
                  <w:vAlign w:val="center"/>
                </w:tcPr>
                <w:p>
                  <w:pPr>
                    <w:widowControl/>
                    <w:jc w:val="center"/>
                    <w:rPr>
                      <w:rFonts w:ascii="Times New Roman" w:hAnsi="Times New Roman" w:cs="Times New Roman"/>
                      <w:szCs w:val="21"/>
                    </w:rPr>
                  </w:pPr>
                </w:p>
              </w:tc>
              <w:tc>
                <w:tcPr>
                  <w:tcW w:w="683" w:type="pct"/>
                  <w:vMerge w:val="continue"/>
                  <w:vAlign w:val="center"/>
                </w:tcPr>
                <w:p>
                  <w:pPr>
                    <w:pStyle w:val="27"/>
                    <w:spacing w:line="240" w:lineRule="auto"/>
                    <w:ind w:firstLine="0" w:firstLineChars="0"/>
                    <w:jc w:val="center"/>
                    <w:rPr>
                      <w:rFonts w:ascii="Times New Roman" w:hAnsi="Times New Roman" w:cs="Times New Roman"/>
                      <w:color w:val="auto"/>
                      <w:sz w:val="21"/>
                      <w:szCs w:val="21"/>
                    </w:rPr>
                  </w:pPr>
                </w:p>
              </w:tc>
              <w:tc>
                <w:tcPr>
                  <w:tcW w:w="939"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c>
                <w:tcPr>
                  <w:tcW w:w="958" w:type="pct"/>
                  <w:gridSpan w:val="4"/>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c>
                <w:tcPr>
                  <w:tcW w:w="833"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c>
                <w:tcPr>
                  <w:tcW w:w="904"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683" w:type="pct"/>
                  <w:vMerge w:val="continue"/>
                  <w:tcBorders>
                    <w:tl2br w:val="nil"/>
                    <w:tr2bl w:val="nil"/>
                  </w:tcBorders>
                  <w:vAlign w:val="center"/>
                </w:tcPr>
                <w:p>
                  <w:pPr>
                    <w:widowControl/>
                    <w:jc w:val="center"/>
                    <w:rPr>
                      <w:rFonts w:ascii="Times New Roman" w:hAnsi="Times New Roman" w:cs="Times New Roman"/>
                      <w:szCs w:val="21"/>
                    </w:rPr>
                  </w:pPr>
                </w:p>
              </w:tc>
              <w:tc>
                <w:tcPr>
                  <w:tcW w:w="683" w:type="pct"/>
                  <w:vMerge w:val="continue"/>
                  <w:vAlign w:val="center"/>
                </w:tcPr>
                <w:p>
                  <w:pPr>
                    <w:pStyle w:val="27"/>
                    <w:spacing w:line="240" w:lineRule="auto"/>
                    <w:ind w:firstLine="0" w:firstLineChars="0"/>
                    <w:jc w:val="center"/>
                    <w:rPr>
                      <w:rFonts w:ascii="Times New Roman" w:hAnsi="Times New Roman" w:cs="Times New Roman"/>
                      <w:color w:val="auto"/>
                      <w:sz w:val="21"/>
                      <w:szCs w:val="21"/>
                    </w:rPr>
                  </w:pPr>
                </w:p>
              </w:tc>
              <w:tc>
                <w:tcPr>
                  <w:tcW w:w="939"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c>
                <w:tcPr>
                  <w:tcW w:w="958" w:type="pct"/>
                  <w:gridSpan w:val="4"/>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c>
                <w:tcPr>
                  <w:tcW w:w="833"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c>
                <w:tcPr>
                  <w:tcW w:w="904"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ND</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5000" w:type="pct"/>
                  <w:gridSpan w:val="10"/>
                  <w:tcBorders>
                    <w:tl2br w:val="nil"/>
                    <w:tr2bl w:val="nil"/>
                  </w:tcBorders>
                  <w:vAlign w:val="center"/>
                </w:tcPr>
                <w:p>
                  <w:pPr>
                    <w:pStyle w:val="27"/>
                    <w:spacing w:line="240" w:lineRule="auto"/>
                    <w:ind w:firstLine="0" w:firstLineChars="0"/>
                    <w:jc w:val="left"/>
                    <w:rPr>
                      <w:rFonts w:ascii="Times New Roman" w:hAnsi="Times New Roman" w:cs="Times New Roman"/>
                      <w:b/>
                      <w:bCs/>
                      <w:color w:val="auto"/>
                      <w:sz w:val="21"/>
                      <w:szCs w:val="21"/>
                    </w:rPr>
                  </w:pPr>
                  <w:r>
                    <w:rPr>
                      <w:rFonts w:ascii="Times New Roman" w:hAnsi="Times New Roman" w:eastAsia="宋体" w:cs="Times New Roman"/>
                      <w:b/>
                      <w:bCs/>
                      <w:color w:val="auto"/>
                      <w:sz w:val="21"/>
                      <w:szCs w:val="21"/>
                    </w:rPr>
                    <w:t>（检测结果中“ND”指在报告说明的检测方法情况下，样品的该检测项目为未检出。）</w:t>
                  </w:r>
                </w:p>
              </w:tc>
            </w:tr>
          </w:tbl>
          <w:p>
            <w:pPr>
              <w:spacing w:line="500" w:lineRule="exact"/>
              <w:ind w:firstLine="420" w:firstLineChars="200"/>
              <w:rPr>
                <w:rFonts w:ascii="Times New Roman" w:hAnsi="Times New Roman" w:cs="Times New Roman"/>
                <w:color w:val="auto"/>
                <w:szCs w:val="21"/>
              </w:rPr>
            </w:pPr>
            <w:r>
              <w:rPr>
                <w:rFonts w:ascii="Times New Roman" w:hAnsi="Times New Roman" w:cs="Times New Roman"/>
                <w:color w:val="auto"/>
                <w:szCs w:val="21"/>
              </w:rPr>
              <w:t>根据监测结果可知，</w:t>
            </w:r>
            <w:r>
              <w:rPr>
                <w:rFonts w:ascii="Times New Roman" w:hAnsi="Times New Roman" w:cs="Times New Roman"/>
                <w:bCs/>
                <w:color w:val="auto"/>
                <w:szCs w:val="21"/>
              </w:rPr>
              <w:t>导热油炉颗粒物监测结果的区间值为</w:t>
            </w:r>
            <w:r>
              <w:rPr>
                <w:rFonts w:ascii="Times New Roman" w:hAnsi="Times New Roman" w:cs="Times New Roman"/>
                <w:color w:val="auto"/>
              </w:rPr>
              <w:t>3.0</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~3.9</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，二氧化硫监测结果的区间值为</w:t>
            </w:r>
            <w:r>
              <w:rPr>
                <w:rFonts w:ascii="Times New Roman" w:hAnsi="Times New Roman" w:cs="Times New Roman"/>
                <w:color w:val="auto"/>
              </w:rPr>
              <w:t>12</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~15</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，氮氧化物监测结果的区间值为</w:t>
            </w:r>
            <w:r>
              <w:rPr>
                <w:rFonts w:ascii="Times New Roman" w:hAnsi="Times New Roman" w:cs="Times New Roman"/>
                <w:color w:val="auto"/>
              </w:rPr>
              <w:t>123</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~136</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w:t>
            </w:r>
            <w:r>
              <w:rPr>
                <w:rFonts w:ascii="Times New Roman" w:hAnsi="Times New Roman" w:eastAsia="宋体" w:cs="Times New Roman"/>
                <w:bCs/>
                <w:color w:val="auto"/>
                <w:szCs w:val="21"/>
              </w:rPr>
              <w:t>供暖锅炉</w:t>
            </w:r>
            <w:r>
              <w:rPr>
                <w:rFonts w:ascii="Times New Roman" w:hAnsi="Times New Roman" w:cs="Times New Roman"/>
                <w:bCs/>
                <w:color w:val="auto"/>
                <w:szCs w:val="21"/>
              </w:rPr>
              <w:t>颗粒物监测结果的区间值为</w:t>
            </w:r>
            <w:r>
              <w:rPr>
                <w:rFonts w:ascii="Times New Roman" w:hAnsi="Times New Roman" w:cs="Times New Roman"/>
                <w:color w:val="auto"/>
              </w:rPr>
              <w:t>3.2</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~3.5</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，二氧化硫监测结果的区间值为</w:t>
            </w:r>
            <w:r>
              <w:rPr>
                <w:rFonts w:ascii="Times New Roman" w:hAnsi="Times New Roman" w:cs="Times New Roman"/>
                <w:color w:val="auto"/>
              </w:rPr>
              <w:t>6</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~8</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，氮氧化物监测结果的区间值为</w:t>
            </w:r>
            <w:r>
              <w:rPr>
                <w:rFonts w:ascii="Times New Roman" w:hAnsi="Times New Roman" w:cs="Times New Roman"/>
                <w:color w:val="auto"/>
              </w:rPr>
              <w:t>91</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~98</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w:t>
            </w:r>
            <w:r>
              <w:rPr>
                <w:rFonts w:ascii="Times New Roman" w:hAnsi="Times New Roman" w:eastAsia="宋体" w:cs="Times New Roman"/>
                <w:bCs/>
                <w:color w:val="auto"/>
                <w:szCs w:val="21"/>
              </w:rPr>
              <w:t>干燥筒锅炉</w:t>
            </w:r>
            <w:r>
              <w:rPr>
                <w:rFonts w:ascii="Times New Roman" w:hAnsi="Times New Roman" w:cs="Times New Roman"/>
                <w:bCs/>
                <w:color w:val="auto"/>
                <w:szCs w:val="21"/>
              </w:rPr>
              <w:t>颗粒物监测结果的区间值为</w:t>
            </w:r>
            <w:r>
              <w:rPr>
                <w:rFonts w:ascii="Times New Roman" w:hAnsi="Times New Roman" w:cs="Times New Roman"/>
                <w:color w:val="auto"/>
              </w:rPr>
              <w:t>2.9</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~3.2</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，二氧化硫监测结果的区间值为</w:t>
            </w:r>
            <w:r>
              <w:rPr>
                <w:rFonts w:ascii="Times New Roman" w:hAnsi="Times New Roman" w:cs="Times New Roman"/>
                <w:color w:val="auto"/>
              </w:rPr>
              <w:t>10</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~13</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，氮氧化物监测结果的区间值为</w:t>
            </w:r>
            <w:r>
              <w:rPr>
                <w:rFonts w:ascii="Times New Roman" w:hAnsi="Times New Roman" w:cs="Times New Roman"/>
                <w:color w:val="auto"/>
              </w:rPr>
              <w:t>108</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~117</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w:t>
            </w:r>
            <w:r>
              <w:rPr>
                <w:rFonts w:hint="eastAsia" w:ascii="Times New Roman" w:hAnsi="Times New Roman" w:cs="Times New Roman"/>
                <w:bCs/>
                <w:color w:val="auto"/>
                <w:szCs w:val="21"/>
                <w:lang w:eastAsia="zh-CN"/>
              </w:rPr>
              <w:t>生产废气排气筒颗粒物监测结果</w:t>
            </w:r>
            <w:r>
              <w:rPr>
                <w:rFonts w:ascii="Times New Roman" w:hAnsi="Times New Roman" w:cs="Times New Roman"/>
                <w:bCs/>
                <w:color w:val="auto"/>
                <w:szCs w:val="21"/>
              </w:rPr>
              <w:t>的区间值为</w:t>
            </w:r>
            <w:r>
              <w:rPr>
                <w:rFonts w:hint="eastAsia" w:ascii="Times New Roman" w:hAnsi="Times New Roman" w:cs="Times New Roman"/>
                <w:color w:val="auto"/>
                <w:lang w:val="en-US" w:eastAsia="zh-CN"/>
              </w:rPr>
              <w:t>3.8</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w:t>
            </w:r>
            <w:r>
              <w:rPr>
                <w:rFonts w:hint="eastAsia" w:ascii="Times New Roman" w:hAnsi="Times New Roman" w:cs="Times New Roman"/>
                <w:color w:val="auto"/>
                <w:lang w:val="en-US" w:eastAsia="zh-CN"/>
              </w:rPr>
              <w:t>4.2</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w:t>
            </w:r>
            <w:r>
              <w:rPr>
                <w:rFonts w:hint="eastAsia" w:ascii="Times New Roman" w:hAnsi="Times New Roman" w:eastAsia="宋体" w:cs="Times New Roman"/>
                <w:color w:val="auto"/>
                <w:kern w:val="2"/>
                <w:sz w:val="21"/>
                <w:szCs w:val="21"/>
                <w:lang w:val="en-US" w:eastAsia="zh-CN" w:bidi="ar"/>
              </w:rPr>
              <w:t>沥青烟以及</w:t>
            </w:r>
            <w:r>
              <w:rPr>
                <w:rFonts w:hint="eastAsia" w:ascii="Times New Roman" w:hAnsi="宋体" w:eastAsia="宋体" w:cs="Times New Roman"/>
                <w:color w:val="auto"/>
                <w:kern w:val="2"/>
                <w:sz w:val="21"/>
                <w:szCs w:val="21"/>
                <w:lang w:val="en-US" w:eastAsia="zh-CN" w:bidi="ar"/>
              </w:rPr>
              <w:t>苯并（</w:t>
            </w:r>
            <w:r>
              <w:rPr>
                <w:rFonts w:hint="default" w:ascii="Times New Roman" w:hAnsi="宋体" w:eastAsia="宋体" w:cs="Times New Roman"/>
                <w:color w:val="auto"/>
                <w:kern w:val="2"/>
                <w:sz w:val="21"/>
                <w:szCs w:val="21"/>
                <w:lang w:val="en-US" w:eastAsia="zh-CN" w:bidi="ar"/>
              </w:rPr>
              <w:t>a</w:t>
            </w:r>
            <w:r>
              <w:rPr>
                <w:rFonts w:hint="eastAsia" w:ascii="Times New Roman" w:hAnsi="宋体" w:eastAsia="宋体" w:cs="Times New Roman"/>
                <w:color w:val="auto"/>
                <w:kern w:val="2"/>
                <w:sz w:val="21"/>
                <w:szCs w:val="21"/>
                <w:lang w:val="en-US" w:eastAsia="zh-CN" w:bidi="ar"/>
              </w:rPr>
              <w:t>）芘均未检出；</w:t>
            </w:r>
            <w:r>
              <w:rPr>
                <w:rFonts w:ascii="Times New Roman" w:hAnsi="Times New Roman" w:eastAsia="宋体" w:cs="Times New Roman"/>
                <w:bCs/>
                <w:color w:val="auto"/>
                <w:szCs w:val="21"/>
              </w:rPr>
              <w:t>上料混料排气筒</w:t>
            </w:r>
            <w:r>
              <w:rPr>
                <w:rFonts w:ascii="Times New Roman" w:hAnsi="Times New Roman" w:cs="Times New Roman"/>
                <w:bCs/>
                <w:color w:val="auto"/>
                <w:szCs w:val="21"/>
              </w:rPr>
              <w:t>颗粒物监测结果的区间值为</w:t>
            </w:r>
            <w:r>
              <w:rPr>
                <w:rFonts w:ascii="Times New Roman" w:hAnsi="Times New Roman" w:cs="Times New Roman"/>
                <w:color w:val="auto"/>
              </w:rPr>
              <w:t>3.0</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~3.4</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；食堂油烟废气监测结果平</w:t>
            </w:r>
            <w:r>
              <w:rPr>
                <w:rFonts w:ascii="Times New Roman" w:hAnsi="Times New Roman" w:cs="Times New Roman"/>
                <w:color w:val="auto"/>
              </w:rPr>
              <w:t>均浓度为区间值为1.21~1.16mg/m³；</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锅炉烟气中的颗粒物、SO</w:t>
            </w:r>
            <w:r>
              <w:rPr>
                <w:rFonts w:ascii="Times New Roman" w:hAnsi="Times New Roman" w:cs="Times New Roman"/>
                <w:szCs w:val="21"/>
                <w:vertAlign w:val="subscript"/>
              </w:rPr>
              <w:t>2</w:t>
            </w:r>
            <w:r>
              <w:rPr>
                <w:rFonts w:ascii="Times New Roman" w:hAnsi="Times New Roman" w:cs="Times New Roman"/>
                <w:szCs w:val="21"/>
              </w:rPr>
              <w:t>及NOx的排放浓度均满足《锅炉大气污染物排放标准》（GB13271-2014）表2新建燃气锅炉大气污染物排放浓度限值，加热炉满足《工业炉窑大气污染物排放标准》（GB9078-1996）二级标准。</w:t>
            </w:r>
            <w:r>
              <w:rPr>
                <w:rFonts w:ascii="Times New Roman" w:hAnsi="Times New Roman" w:eastAsia="宋体" w:cs="Times New Roman"/>
                <w:bCs/>
                <w:szCs w:val="21"/>
              </w:rPr>
              <w:t>上料混料</w:t>
            </w:r>
            <w:r>
              <w:rPr>
                <w:rFonts w:ascii="Times New Roman" w:hAnsi="Times New Roman" w:cs="Times New Roman"/>
              </w:rPr>
              <w:t>满足《大气污染物综合排放标准》（GB16297-1996）二级排放标准，</w:t>
            </w:r>
            <w:r>
              <w:rPr>
                <w:rFonts w:ascii="Times New Roman" w:hAnsi="Times New Roman" w:eastAsia="宋体" w:cs="Times New Roman"/>
                <w:bCs/>
                <w:szCs w:val="21"/>
              </w:rPr>
              <w:t>食堂油烟满足</w:t>
            </w:r>
            <w:r>
              <w:rPr>
                <w:rFonts w:ascii="Times New Roman" w:hAnsi="Times New Roman" w:cs="Times New Roman"/>
                <w:szCs w:val="21"/>
              </w:rPr>
              <w:t>《饮食业油烟排放标准》（试行）（GB18483-2001）（小型）)油烟排放浓度≤2.0mg/m</w:t>
            </w:r>
            <w:r>
              <w:rPr>
                <w:rFonts w:ascii="Times New Roman" w:hAnsi="Times New Roman" w:cs="Times New Roman"/>
                <w:szCs w:val="21"/>
                <w:vertAlign w:val="superscript"/>
              </w:rPr>
              <w:t>3</w:t>
            </w:r>
            <w:r>
              <w:rPr>
                <w:rFonts w:ascii="Times New Roman" w:hAnsi="Times New Roman" w:cs="Times New Roman"/>
                <w:szCs w:val="21"/>
              </w:rPr>
              <w:t>。</w:t>
            </w:r>
          </w:p>
          <w:p>
            <w:pPr>
              <w:spacing w:line="500" w:lineRule="exact"/>
              <w:ind w:firstLine="420" w:firstLineChars="200"/>
              <w:rPr>
                <w:rFonts w:ascii="Times New Roman" w:hAnsi="Times New Roman" w:cs="Times New Roman"/>
                <w:szCs w:val="21"/>
              </w:rPr>
            </w:pPr>
            <w:r>
              <w:rPr>
                <w:rFonts w:ascii="Times New Roman" w:hAnsi="Times New Roman" w:cs="Times New Roman"/>
                <w:szCs w:val="21"/>
              </w:rPr>
              <w:t>本项目厂界</w:t>
            </w:r>
            <w:r>
              <w:rPr>
                <w:rFonts w:ascii="Times New Roman" w:hAnsi="Times New Roman" w:cs="Times New Roman"/>
                <w:bCs/>
                <w:szCs w:val="21"/>
              </w:rPr>
              <w:t>无组织颗粒物监测结果的区间值为</w:t>
            </w:r>
            <w:r>
              <w:rPr>
                <w:rFonts w:ascii="Times New Roman" w:hAnsi="Times New Roman" w:cs="Times New Roman"/>
              </w:rPr>
              <w:t>91</w:t>
            </w:r>
            <w:r>
              <w:rPr>
                <w:rFonts w:ascii="Times New Roman" w:hAnsi="Times New Roman" w:eastAsia="宋体" w:cs="Times New Roman"/>
                <w:szCs w:val="21"/>
              </w:rPr>
              <w:t>u</w:t>
            </w:r>
            <w:r>
              <w:rPr>
                <w:rFonts w:ascii="Times New Roman" w:hAnsi="Times New Roman" w:cs="Times New Roman"/>
                <w:bCs/>
                <w:szCs w:val="21"/>
              </w:rPr>
              <w:t>g/m</w:t>
            </w:r>
            <w:r>
              <w:rPr>
                <w:rFonts w:ascii="Times New Roman" w:hAnsi="Times New Roman" w:cs="Times New Roman"/>
                <w:bCs/>
                <w:szCs w:val="21"/>
                <w:vertAlign w:val="superscript"/>
              </w:rPr>
              <w:t>3</w:t>
            </w:r>
            <w:r>
              <w:rPr>
                <w:rFonts w:ascii="Times New Roman" w:hAnsi="Times New Roman" w:cs="Times New Roman"/>
              </w:rPr>
              <w:t>~98</w:t>
            </w:r>
            <w:r>
              <w:rPr>
                <w:rFonts w:ascii="Times New Roman" w:hAnsi="Times New Roman" w:eastAsia="宋体" w:cs="Times New Roman"/>
                <w:szCs w:val="21"/>
              </w:rPr>
              <w:t>u</w:t>
            </w:r>
            <w:r>
              <w:rPr>
                <w:rFonts w:ascii="Times New Roman" w:hAnsi="Times New Roman" w:cs="Times New Roman"/>
                <w:bCs/>
                <w:szCs w:val="21"/>
              </w:rPr>
              <w:t>g/m</w:t>
            </w:r>
            <w:r>
              <w:rPr>
                <w:rFonts w:ascii="Times New Roman" w:hAnsi="Times New Roman" w:cs="Times New Roman"/>
                <w:bCs/>
                <w:szCs w:val="21"/>
                <w:vertAlign w:val="superscript"/>
              </w:rPr>
              <w:t>3</w:t>
            </w:r>
            <w:r>
              <w:rPr>
                <w:rFonts w:ascii="Times New Roman" w:hAnsi="Times New Roman" w:cs="Times New Roman"/>
                <w:bCs/>
                <w:szCs w:val="21"/>
              </w:rPr>
              <w:t>；</w:t>
            </w:r>
            <w:r>
              <w:rPr>
                <w:rFonts w:ascii="Times New Roman" w:hAnsi="Times New Roman" w:cs="Times New Roman"/>
                <w:szCs w:val="21"/>
              </w:rPr>
              <w:t>浓度满足《大气污染物综合排放标准》（GB16297-1996）表2中无组织排放监控浓度限值要求。</w:t>
            </w:r>
          </w:p>
          <w:p>
            <w:pPr>
              <w:spacing w:line="500" w:lineRule="exact"/>
              <w:ind w:firstLine="420" w:firstLineChars="200"/>
              <w:rPr>
                <w:rFonts w:ascii="Times New Roman" w:hAnsi="Times New Roman" w:eastAsia="黑体" w:cs="Times New Roman"/>
                <w:szCs w:val="21"/>
              </w:rPr>
            </w:pPr>
            <w:r>
              <w:rPr>
                <w:rFonts w:ascii="Times New Roman" w:hAnsi="Times New Roman" w:eastAsia="黑体" w:cs="Times New Roman"/>
              </w:rPr>
              <w:t xml:space="preserve">表7-5                       本项噪声监测结果               </w:t>
            </w:r>
          </w:p>
          <w:tbl>
            <w:tblPr>
              <w:tblStyle w:val="19"/>
              <w:tblpPr w:leftFromText="180" w:rightFromText="180" w:vertAnchor="text" w:horzAnchor="page" w:tblpXSpec="center" w:tblpY="1"/>
              <w:tblOverlap w:val="never"/>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74"/>
              <w:gridCol w:w="829"/>
              <w:gridCol w:w="865"/>
              <w:gridCol w:w="1549"/>
              <w:gridCol w:w="1549"/>
              <w:gridCol w:w="1599"/>
              <w:gridCol w:w="150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5000" w:type="pct"/>
                  <w:gridSpan w:val="7"/>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噪声检测结果</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2" w:hRule="atLeast"/>
                <w:jc w:val="center"/>
              </w:trPr>
              <w:tc>
                <w:tcPr>
                  <w:tcW w:w="647" w:type="pct"/>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bCs/>
                      <w:szCs w:val="21"/>
                    </w:rPr>
                    <w:t>测试报告</w:t>
                  </w:r>
                </w:p>
              </w:tc>
              <w:tc>
                <w:tcPr>
                  <w:tcW w:w="934" w:type="pct"/>
                  <w:gridSpan w:val="2"/>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采样点位</w:t>
                  </w:r>
                </w:p>
              </w:tc>
              <w:tc>
                <w:tcPr>
                  <w:tcW w:w="3420" w:type="pct"/>
                  <w:gridSpan w:val="4"/>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厂界四周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647" w:type="pct"/>
                  <w:vMerge w:val="continue"/>
                  <w:tcBorders>
                    <w:tl2br w:val="nil"/>
                    <w:tr2bl w:val="nil"/>
                  </w:tcBorders>
                  <w:vAlign w:val="center"/>
                </w:tcPr>
                <w:p>
                  <w:pPr>
                    <w:jc w:val="center"/>
                    <w:rPr>
                      <w:rFonts w:ascii="Times New Roman" w:hAnsi="Times New Roman" w:cs="Times New Roman"/>
                      <w:szCs w:val="21"/>
                    </w:rPr>
                  </w:pPr>
                </w:p>
              </w:tc>
              <w:tc>
                <w:tcPr>
                  <w:tcW w:w="934" w:type="pct"/>
                  <w:gridSpan w:val="2"/>
                  <w:vMerge w:val="continue"/>
                  <w:tcBorders>
                    <w:tl2br w:val="nil"/>
                    <w:tr2bl w:val="nil"/>
                  </w:tcBorders>
                  <w:vAlign w:val="center"/>
                </w:tcPr>
                <w:p>
                  <w:pPr>
                    <w:jc w:val="center"/>
                    <w:rPr>
                      <w:rFonts w:ascii="Times New Roman" w:hAnsi="Times New Roman" w:cs="Times New Roman"/>
                      <w:szCs w:val="21"/>
                    </w:rPr>
                  </w:pPr>
                </w:p>
              </w:tc>
              <w:tc>
                <w:tcPr>
                  <w:tcW w:w="854"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厂界东侧1m</w:t>
                  </w:r>
                </w:p>
              </w:tc>
              <w:tc>
                <w:tcPr>
                  <w:tcW w:w="854"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厂界南侧1m</w:t>
                  </w:r>
                </w:p>
              </w:tc>
              <w:tc>
                <w:tcPr>
                  <w:tcW w:w="854"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厂界西侧1m</w:t>
                  </w:r>
                </w:p>
              </w:tc>
              <w:tc>
                <w:tcPr>
                  <w:tcW w:w="857" w:type="pc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厂界北侧1m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647" w:type="pct"/>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分析项目</w:t>
                  </w:r>
                </w:p>
              </w:tc>
              <w:tc>
                <w:tcPr>
                  <w:tcW w:w="934"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检测日期</w:t>
                  </w:r>
                </w:p>
              </w:tc>
              <w:tc>
                <w:tcPr>
                  <w:tcW w:w="3420" w:type="pct"/>
                  <w:gridSpan w:val="4"/>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647" w:type="pct"/>
                  <w:vMerge w:val="continue"/>
                  <w:tcBorders>
                    <w:tl2br w:val="nil"/>
                    <w:tr2bl w:val="nil"/>
                  </w:tcBorders>
                  <w:vAlign w:val="center"/>
                </w:tcPr>
                <w:p>
                  <w:pPr>
                    <w:jc w:val="center"/>
                    <w:rPr>
                      <w:rFonts w:ascii="Times New Roman" w:hAnsi="Times New Roman" w:cs="Times New Roman"/>
                      <w:szCs w:val="21"/>
                    </w:rPr>
                  </w:pPr>
                </w:p>
              </w:tc>
              <w:tc>
                <w:tcPr>
                  <w:tcW w:w="457" w:type="pct"/>
                  <w:vAlign w:val="center"/>
                </w:tcPr>
                <w:p>
                  <w:pPr>
                    <w:jc w:val="center"/>
                    <w:rPr>
                      <w:rFonts w:ascii="Times New Roman" w:hAnsi="Times New Roman" w:cs="Times New Roman"/>
                      <w:szCs w:val="21"/>
                    </w:rPr>
                  </w:pPr>
                  <w:r>
                    <w:rPr>
                      <w:rFonts w:ascii="Times New Roman" w:hAnsi="Times New Roman" w:eastAsia="宋体" w:cs="Times New Roman"/>
                      <w:szCs w:val="21"/>
                    </w:rPr>
                    <w:t>单位</w:t>
                  </w:r>
                </w:p>
              </w:tc>
              <w:tc>
                <w:tcPr>
                  <w:tcW w:w="477" w:type="pct"/>
                  <w:tcBorders>
                    <w:left w:val="single" w:color="auto"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时段</w:t>
                  </w:r>
                </w:p>
              </w:tc>
              <w:tc>
                <w:tcPr>
                  <w:tcW w:w="854" w:type="pct"/>
                  <w:tcBorders>
                    <w:right w:val="single" w:color="auto" w:sz="4" w:space="0"/>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分析结果</w:t>
                  </w:r>
                </w:p>
              </w:tc>
              <w:tc>
                <w:tcPr>
                  <w:tcW w:w="827" w:type="pct"/>
                  <w:tcBorders>
                    <w:left w:val="single" w:color="auto" w:sz="4" w:space="0"/>
                    <w:righ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分析结果</w:t>
                  </w:r>
                </w:p>
              </w:tc>
              <w:tc>
                <w:tcPr>
                  <w:tcW w:w="881" w:type="pct"/>
                  <w:tcBorders>
                    <w:left w:val="single" w:color="000000" w:sz="4" w:space="0"/>
                    <w:righ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分析结果</w:t>
                  </w:r>
                </w:p>
              </w:tc>
              <w:tc>
                <w:tcPr>
                  <w:tcW w:w="857" w:type="pct"/>
                  <w:tcBorders>
                    <w:lef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分析结果</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647" w:type="pct"/>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噪声</w:t>
                  </w:r>
                </w:p>
              </w:tc>
              <w:tc>
                <w:tcPr>
                  <w:tcW w:w="457" w:type="pct"/>
                  <w:vMerge w:val="restart"/>
                  <w:vAlign w:val="center"/>
                </w:tcPr>
                <w:p>
                  <w:pPr>
                    <w:jc w:val="center"/>
                    <w:rPr>
                      <w:rFonts w:ascii="Times New Roman" w:hAnsi="Times New Roman" w:cs="Times New Roman"/>
                      <w:szCs w:val="21"/>
                    </w:rPr>
                  </w:pPr>
                  <w:r>
                    <w:rPr>
                      <w:rFonts w:ascii="Times New Roman" w:hAnsi="Times New Roman" w:eastAsia="宋体" w:cs="Times New Roman"/>
                      <w:szCs w:val="21"/>
                    </w:rPr>
                    <w:t>dB(A)</w:t>
                  </w:r>
                </w:p>
              </w:tc>
              <w:tc>
                <w:tcPr>
                  <w:tcW w:w="477" w:type="pct"/>
                  <w:tcBorders>
                    <w:left w:val="single" w:color="auto"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昼间</w:t>
                  </w:r>
                </w:p>
              </w:tc>
              <w:tc>
                <w:tcPr>
                  <w:tcW w:w="854" w:type="pct"/>
                  <w:tcBorders>
                    <w:right w:val="single" w:color="auto" w:sz="4" w:space="0"/>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56.4</w:t>
                  </w:r>
                </w:p>
              </w:tc>
              <w:tc>
                <w:tcPr>
                  <w:tcW w:w="827" w:type="pct"/>
                  <w:tcBorders>
                    <w:left w:val="single" w:color="auto" w:sz="4" w:space="0"/>
                    <w:righ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57.4</w:t>
                  </w:r>
                </w:p>
              </w:tc>
              <w:tc>
                <w:tcPr>
                  <w:tcW w:w="881" w:type="pct"/>
                  <w:tcBorders>
                    <w:left w:val="single" w:color="000000" w:sz="4" w:space="0"/>
                    <w:righ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55.7</w:t>
                  </w:r>
                </w:p>
              </w:tc>
              <w:tc>
                <w:tcPr>
                  <w:tcW w:w="857" w:type="pct"/>
                  <w:tcBorders>
                    <w:lef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54.2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647" w:type="pct"/>
                  <w:vMerge w:val="continue"/>
                  <w:tcBorders>
                    <w:tl2br w:val="nil"/>
                    <w:tr2bl w:val="nil"/>
                  </w:tcBorders>
                  <w:vAlign w:val="center"/>
                </w:tcPr>
                <w:p>
                  <w:pPr>
                    <w:jc w:val="center"/>
                    <w:rPr>
                      <w:rFonts w:ascii="Times New Roman" w:hAnsi="Times New Roman" w:cs="Times New Roman"/>
                      <w:szCs w:val="21"/>
                    </w:rPr>
                  </w:pPr>
                </w:p>
              </w:tc>
              <w:tc>
                <w:tcPr>
                  <w:tcW w:w="457" w:type="pct"/>
                  <w:vMerge w:val="continue"/>
                  <w:vAlign w:val="center"/>
                </w:tcPr>
                <w:p>
                  <w:pPr>
                    <w:jc w:val="center"/>
                    <w:rPr>
                      <w:rFonts w:ascii="Times New Roman" w:hAnsi="Times New Roman" w:cs="Times New Roman"/>
                      <w:szCs w:val="21"/>
                    </w:rPr>
                  </w:pPr>
                </w:p>
              </w:tc>
              <w:tc>
                <w:tcPr>
                  <w:tcW w:w="477" w:type="pct"/>
                  <w:tcBorders>
                    <w:left w:val="single" w:color="auto"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夜间</w:t>
                  </w:r>
                </w:p>
              </w:tc>
              <w:tc>
                <w:tcPr>
                  <w:tcW w:w="854" w:type="pct"/>
                  <w:tcBorders>
                    <w:right w:val="single" w:color="auto" w:sz="4" w:space="0"/>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43.1</w:t>
                  </w:r>
                </w:p>
              </w:tc>
              <w:tc>
                <w:tcPr>
                  <w:tcW w:w="827" w:type="pct"/>
                  <w:tcBorders>
                    <w:left w:val="single" w:color="auto" w:sz="4" w:space="0"/>
                    <w:righ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43.7</w:t>
                  </w:r>
                </w:p>
              </w:tc>
              <w:tc>
                <w:tcPr>
                  <w:tcW w:w="881" w:type="pct"/>
                  <w:tcBorders>
                    <w:left w:val="single" w:color="000000" w:sz="4" w:space="0"/>
                    <w:righ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45.4</w:t>
                  </w:r>
                </w:p>
              </w:tc>
              <w:tc>
                <w:tcPr>
                  <w:tcW w:w="857" w:type="pct"/>
                  <w:tcBorders>
                    <w:lef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45.8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2" w:hRule="atLeast"/>
                <w:jc w:val="center"/>
              </w:trPr>
              <w:tc>
                <w:tcPr>
                  <w:tcW w:w="647" w:type="pct"/>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bCs/>
                      <w:szCs w:val="21"/>
                    </w:rPr>
                    <w:t>测试报告</w:t>
                  </w:r>
                </w:p>
              </w:tc>
              <w:tc>
                <w:tcPr>
                  <w:tcW w:w="934" w:type="pct"/>
                  <w:gridSpan w:val="2"/>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采样点位</w:t>
                  </w:r>
                </w:p>
              </w:tc>
              <w:tc>
                <w:tcPr>
                  <w:tcW w:w="3420" w:type="pct"/>
                  <w:gridSpan w:val="4"/>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厂界四周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2" w:hRule="atLeast"/>
                <w:jc w:val="center"/>
              </w:trPr>
              <w:tc>
                <w:tcPr>
                  <w:tcW w:w="647" w:type="pct"/>
                  <w:vMerge w:val="continue"/>
                  <w:tcBorders>
                    <w:tl2br w:val="nil"/>
                    <w:tr2bl w:val="nil"/>
                  </w:tcBorders>
                  <w:vAlign w:val="center"/>
                </w:tcPr>
                <w:p>
                  <w:pPr>
                    <w:jc w:val="center"/>
                    <w:rPr>
                      <w:rFonts w:ascii="Times New Roman" w:hAnsi="Times New Roman" w:cs="Times New Roman"/>
                      <w:szCs w:val="21"/>
                    </w:rPr>
                  </w:pPr>
                </w:p>
              </w:tc>
              <w:tc>
                <w:tcPr>
                  <w:tcW w:w="934" w:type="pct"/>
                  <w:gridSpan w:val="2"/>
                  <w:vMerge w:val="continue"/>
                  <w:tcBorders>
                    <w:tl2br w:val="nil"/>
                    <w:tr2bl w:val="nil"/>
                  </w:tcBorders>
                  <w:vAlign w:val="center"/>
                </w:tcPr>
                <w:p>
                  <w:pPr>
                    <w:jc w:val="center"/>
                    <w:rPr>
                      <w:rFonts w:ascii="Times New Roman" w:hAnsi="Times New Roman" w:cs="Times New Roman"/>
                      <w:szCs w:val="21"/>
                    </w:rPr>
                  </w:pPr>
                </w:p>
              </w:tc>
              <w:tc>
                <w:tcPr>
                  <w:tcW w:w="854" w:type="pct"/>
                  <w:tcBorders>
                    <w:right w:val="single" w:color="auto" w:sz="4" w:space="0"/>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厂界东侧1m</w:t>
                  </w:r>
                </w:p>
              </w:tc>
              <w:tc>
                <w:tcPr>
                  <w:tcW w:w="827" w:type="pct"/>
                  <w:tcBorders>
                    <w:left w:val="single" w:color="auto" w:sz="4" w:space="0"/>
                    <w:righ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厂界西侧1m</w:t>
                  </w:r>
                </w:p>
              </w:tc>
              <w:tc>
                <w:tcPr>
                  <w:tcW w:w="881" w:type="pct"/>
                  <w:tcBorders>
                    <w:left w:val="single" w:color="000000" w:sz="4" w:space="0"/>
                    <w:righ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厂界南侧1m</w:t>
                  </w:r>
                </w:p>
              </w:tc>
              <w:tc>
                <w:tcPr>
                  <w:tcW w:w="857" w:type="pct"/>
                  <w:tcBorders>
                    <w:lef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厂界北侧1m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647" w:type="pct"/>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分析项目</w:t>
                  </w:r>
                </w:p>
              </w:tc>
              <w:tc>
                <w:tcPr>
                  <w:tcW w:w="934" w:type="pct"/>
                  <w:gridSpan w:val="2"/>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检测日期</w:t>
                  </w:r>
                </w:p>
              </w:tc>
              <w:tc>
                <w:tcPr>
                  <w:tcW w:w="3420" w:type="pct"/>
                  <w:gridSpan w:val="4"/>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2023.05.19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647" w:type="pct"/>
                  <w:vMerge w:val="continue"/>
                  <w:tcBorders>
                    <w:tl2br w:val="nil"/>
                    <w:tr2bl w:val="nil"/>
                  </w:tcBorders>
                  <w:vAlign w:val="center"/>
                </w:tcPr>
                <w:p>
                  <w:pPr>
                    <w:jc w:val="center"/>
                    <w:rPr>
                      <w:rFonts w:ascii="Times New Roman" w:hAnsi="Times New Roman" w:cs="Times New Roman"/>
                      <w:szCs w:val="21"/>
                    </w:rPr>
                  </w:pPr>
                </w:p>
              </w:tc>
              <w:tc>
                <w:tcPr>
                  <w:tcW w:w="457" w:type="pct"/>
                  <w:vAlign w:val="center"/>
                </w:tcPr>
                <w:p>
                  <w:pPr>
                    <w:jc w:val="center"/>
                    <w:rPr>
                      <w:rFonts w:ascii="Times New Roman" w:hAnsi="Times New Roman" w:cs="Times New Roman"/>
                      <w:szCs w:val="21"/>
                    </w:rPr>
                  </w:pPr>
                  <w:r>
                    <w:rPr>
                      <w:rFonts w:ascii="Times New Roman" w:hAnsi="Times New Roman" w:eastAsia="宋体" w:cs="Times New Roman"/>
                      <w:szCs w:val="21"/>
                    </w:rPr>
                    <w:t>单位</w:t>
                  </w:r>
                </w:p>
              </w:tc>
              <w:tc>
                <w:tcPr>
                  <w:tcW w:w="477" w:type="pct"/>
                  <w:tcBorders>
                    <w:left w:val="single" w:color="auto"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时段</w:t>
                  </w:r>
                </w:p>
              </w:tc>
              <w:tc>
                <w:tcPr>
                  <w:tcW w:w="854" w:type="pct"/>
                  <w:tcBorders>
                    <w:right w:val="single" w:color="auto" w:sz="4" w:space="0"/>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分析结果</w:t>
                  </w:r>
                </w:p>
              </w:tc>
              <w:tc>
                <w:tcPr>
                  <w:tcW w:w="827" w:type="pct"/>
                  <w:tcBorders>
                    <w:left w:val="single" w:color="auto" w:sz="4" w:space="0"/>
                    <w:righ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分析结果</w:t>
                  </w:r>
                </w:p>
              </w:tc>
              <w:tc>
                <w:tcPr>
                  <w:tcW w:w="881" w:type="pct"/>
                  <w:tcBorders>
                    <w:left w:val="single" w:color="000000" w:sz="4" w:space="0"/>
                    <w:righ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分析结果</w:t>
                  </w:r>
                </w:p>
              </w:tc>
              <w:tc>
                <w:tcPr>
                  <w:tcW w:w="857" w:type="pct"/>
                  <w:tcBorders>
                    <w:lef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分析结果</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647" w:type="pct"/>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噪声</w:t>
                  </w:r>
                </w:p>
              </w:tc>
              <w:tc>
                <w:tcPr>
                  <w:tcW w:w="457" w:type="pct"/>
                  <w:vMerge w:val="restart"/>
                  <w:vAlign w:val="center"/>
                </w:tcPr>
                <w:p>
                  <w:pPr>
                    <w:jc w:val="center"/>
                    <w:rPr>
                      <w:rFonts w:ascii="Times New Roman" w:hAnsi="Times New Roman" w:cs="Times New Roman"/>
                      <w:szCs w:val="21"/>
                    </w:rPr>
                  </w:pPr>
                  <w:r>
                    <w:rPr>
                      <w:rFonts w:ascii="Times New Roman" w:hAnsi="Times New Roman" w:eastAsia="宋体" w:cs="Times New Roman"/>
                      <w:szCs w:val="21"/>
                    </w:rPr>
                    <w:t>dB(A)</w:t>
                  </w:r>
                </w:p>
              </w:tc>
              <w:tc>
                <w:tcPr>
                  <w:tcW w:w="477" w:type="pct"/>
                  <w:tcBorders>
                    <w:left w:val="single" w:color="auto"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昼间</w:t>
                  </w:r>
                </w:p>
              </w:tc>
              <w:tc>
                <w:tcPr>
                  <w:tcW w:w="854" w:type="pct"/>
                  <w:tcBorders>
                    <w:right w:val="single" w:color="auto" w:sz="4" w:space="0"/>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57.3</w:t>
                  </w:r>
                </w:p>
              </w:tc>
              <w:tc>
                <w:tcPr>
                  <w:tcW w:w="827" w:type="pct"/>
                  <w:tcBorders>
                    <w:left w:val="single" w:color="auto" w:sz="4" w:space="0"/>
                    <w:righ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56.8</w:t>
                  </w:r>
                </w:p>
              </w:tc>
              <w:tc>
                <w:tcPr>
                  <w:tcW w:w="881" w:type="pct"/>
                  <w:tcBorders>
                    <w:left w:val="single" w:color="000000" w:sz="4" w:space="0"/>
                    <w:righ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56.1</w:t>
                  </w:r>
                </w:p>
              </w:tc>
              <w:tc>
                <w:tcPr>
                  <w:tcW w:w="857" w:type="pct"/>
                  <w:tcBorders>
                    <w:lef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54.0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647" w:type="pct"/>
                  <w:vMerge w:val="continue"/>
                  <w:tcBorders>
                    <w:tl2br w:val="nil"/>
                    <w:tr2bl w:val="nil"/>
                  </w:tcBorders>
                  <w:vAlign w:val="center"/>
                </w:tcPr>
                <w:p>
                  <w:pPr>
                    <w:jc w:val="center"/>
                    <w:rPr>
                      <w:rFonts w:ascii="Times New Roman" w:hAnsi="Times New Roman" w:cs="Times New Roman"/>
                      <w:szCs w:val="21"/>
                    </w:rPr>
                  </w:pPr>
                </w:p>
              </w:tc>
              <w:tc>
                <w:tcPr>
                  <w:tcW w:w="457" w:type="pct"/>
                  <w:vMerge w:val="continue"/>
                  <w:vAlign w:val="center"/>
                </w:tcPr>
                <w:p>
                  <w:pPr>
                    <w:jc w:val="center"/>
                    <w:rPr>
                      <w:rFonts w:ascii="Times New Roman" w:hAnsi="Times New Roman" w:cs="Times New Roman"/>
                      <w:szCs w:val="21"/>
                    </w:rPr>
                  </w:pPr>
                </w:p>
              </w:tc>
              <w:tc>
                <w:tcPr>
                  <w:tcW w:w="477" w:type="pct"/>
                  <w:tcBorders>
                    <w:left w:val="single" w:color="auto"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夜间</w:t>
                  </w:r>
                </w:p>
              </w:tc>
              <w:tc>
                <w:tcPr>
                  <w:tcW w:w="854" w:type="pct"/>
                  <w:tcBorders>
                    <w:right w:val="single" w:color="auto" w:sz="4" w:space="0"/>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43.9</w:t>
                  </w:r>
                </w:p>
              </w:tc>
              <w:tc>
                <w:tcPr>
                  <w:tcW w:w="827" w:type="pct"/>
                  <w:tcBorders>
                    <w:left w:val="single" w:color="auto" w:sz="4" w:space="0"/>
                    <w:righ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44.1</w:t>
                  </w:r>
                </w:p>
              </w:tc>
              <w:tc>
                <w:tcPr>
                  <w:tcW w:w="881" w:type="pct"/>
                  <w:tcBorders>
                    <w:left w:val="single" w:color="000000" w:sz="4" w:space="0"/>
                    <w:righ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42.8</w:t>
                  </w:r>
                </w:p>
              </w:tc>
              <w:tc>
                <w:tcPr>
                  <w:tcW w:w="857" w:type="pct"/>
                  <w:tcBorders>
                    <w:left w:val="single" w:color="000000" w:sz="4" w:space="0"/>
                  </w:tcBorders>
                  <w:vAlign w:val="center"/>
                </w:tcPr>
                <w:p>
                  <w:pPr>
                    <w:jc w:val="center"/>
                    <w:rPr>
                      <w:rFonts w:ascii="Times New Roman" w:hAnsi="Times New Roman" w:cs="Times New Roman"/>
                      <w:szCs w:val="21"/>
                    </w:rPr>
                  </w:pPr>
                  <w:r>
                    <w:rPr>
                      <w:rFonts w:ascii="Times New Roman" w:hAnsi="Times New Roman" w:eastAsia="宋体" w:cs="Times New Roman"/>
                      <w:szCs w:val="21"/>
                    </w:rPr>
                    <w:t>46.2</w:t>
                  </w:r>
                </w:p>
              </w:tc>
            </w:tr>
          </w:tbl>
          <w:p>
            <w:pPr>
              <w:widowControl/>
              <w:adjustRightInd w:val="0"/>
              <w:snapToGrid w:val="0"/>
              <w:spacing w:line="500" w:lineRule="exact"/>
              <w:ind w:firstLine="420" w:firstLineChars="200"/>
              <w:jc w:val="left"/>
              <w:rPr>
                <w:rFonts w:ascii="Times New Roman" w:hAnsi="Times New Roman" w:cs="Times New Roman"/>
                <w:szCs w:val="21"/>
              </w:rPr>
            </w:pPr>
            <w:r>
              <w:rPr>
                <w:rFonts w:ascii="Times New Roman" w:hAnsi="Times New Roman" w:eastAsia="宋体" w:cs="Times New Roman"/>
                <w:kern w:val="0"/>
                <w:szCs w:val="21"/>
              </w:rPr>
              <w:t>根据监测结果为厂界环境噪声监测值昼间最大值为57.3dB（A），夜间最大值45.4dB（A），满足《工业企业厂界环境噪声排放标准》（GB12348-2008）中2类标准要求。</w:t>
            </w:r>
          </w:p>
          <w:p>
            <w:pPr>
              <w:spacing w:line="500" w:lineRule="exact"/>
              <w:ind w:firstLine="420" w:firstLineChars="200"/>
              <w:rPr>
                <w:rFonts w:ascii="Times New Roman" w:hAnsi="Times New Roman" w:eastAsia="黑体" w:cs="Times New Roman"/>
                <w:szCs w:val="21"/>
              </w:rPr>
            </w:pPr>
            <w:r>
              <w:rPr>
                <w:rFonts w:ascii="Times New Roman" w:hAnsi="Times New Roman" w:eastAsia="黑体" w:cs="Times New Roman"/>
              </w:rPr>
              <w:t xml:space="preserve">表7-6                         本项废水监测结果               </w:t>
            </w:r>
          </w:p>
          <w:tbl>
            <w:tblPr>
              <w:tblStyle w:val="19"/>
              <w:tblW w:w="4987" w:type="pct"/>
              <w:tblInd w:w="0" w:type="dxa"/>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autofit"/>
              <w:tblCellMar>
                <w:top w:w="0" w:type="dxa"/>
                <w:left w:w="108" w:type="dxa"/>
                <w:bottom w:w="0" w:type="dxa"/>
                <w:right w:w="108" w:type="dxa"/>
              </w:tblCellMar>
            </w:tblPr>
            <w:tblGrid>
              <w:gridCol w:w="1060"/>
              <w:gridCol w:w="1524"/>
              <w:gridCol w:w="1406"/>
              <w:gridCol w:w="1676"/>
              <w:gridCol w:w="1678"/>
              <w:gridCol w:w="1704"/>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vMerge w:val="restar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bCs/>
                      <w:color w:val="000000"/>
                      <w:szCs w:val="21"/>
                    </w:rPr>
                    <w:t>测试报告</w:t>
                  </w: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检测点位</w:t>
                  </w:r>
                </w:p>
              </w:tc>
              <w:tc>
                <w:tcPr>
                  <w:tcW w:w="3545" w:type="pct"/>
                  <w:gridSpan w:val="4"/>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废水排放口</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vMerge w:val="continue"/>
                  <w:tcBorders>
                    <w:tl2br w:val="nil"/>
                    <w:tr2bl w:val="nil"/>
                  </w:tcBorders>
                  <w:shd w:val="clear" w:color="auto" w:fill="FFFFFF"/>
                  <w:vAlign w:val="center"/>
                </w:tcPr>
                <w:p>
                  <w:pPr>
                    <w:jc w:val="center"/>
                    <w:rPr>
                      <w:rFonts w:ascii="Times New Roman" w:hAnsi="Times New Roman" w:cs="Times New Roman"/>
                      <w:color w:val="000000"/>
                      <w:szCs w:val="21"/>
                    </w:rPr>
                  </w:pP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样品编号</w:t>
                  </w:r>
                </w:p>
              </w:tc>
              <w:tc>
                <w:tcPr>
                  <w:tcW w:w="712"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W230518A01</w:t>
                  </w:r>
                </w:p>
              </w:tc>
              <w:tc>
                <w:tcPr>
                  <w:tcW w:w="93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W230518A02</w:t>
                  </w:r>
                </w:p>
              </w:tc>
              <w:tc>
                <w:tcPr>
                  <w:tcW w:w="940"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W230518A03</w:t>
                  </w:r>
                </w:p>
              </w:tc>
              <w:tc>
                <w:tcPr>
                  <w:tcW w:w="954"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W230518A04</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vMerge w:val="continue"/>
                  <w:tcBorders>
                    <w:tl2br w:val="nil"/>
                    <w:tr2bl w:val="nil"/>
                  </w:tcBorders>
                  <w:shd w:val="clear" w:color="auto" w:fill="FFFFFF"/>
                  <w:vAlign w:val="center"/>
                </w:tcPr>
                <w:p>
                  <w:pPr>
                    <w:jc w:val="center"/>
                    <w:rPr>
                      <w:rFonts w:ascii="Times New Roman" w:hAnsi="Times New Roman" w:cs="Times New Roman"/>
                      <w:color w:val="000000"/>
                      <w:szCs w:val="21"/>
                    </w:rPr>
                  </w:pP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样品性状</w:t>
                  </w:r>
                </w:p>
              </w:tc>
              <w:tc>
                <w:tcPr>
                  <w:tcW w:w="3545" w:type="pct"/>
                  <w:gridSpan w:val="4"/>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较</w:t>
                  </w:r>
                  <w:r>
                    <w:rPr>
                      <w:rFonts w:ascii="Times New Roman" w:hAnsi="Times New Roman" w:eastAsia="宋体" w:cs="Times New Roman"/>
                      <w:color w:val="000000"/>
                      <w:szCs w:val="21"/>
                    </w:rPr>
                    <w:t>清澈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vMerge w:val="continue"/>
                  <w:tcBorders>
                    <w:tl2br w:val="nil"/>
                    <w:tr2bl w:val="nil"/>
                  </w:tcBorders>
                  <w:shd w:val="clear" w:color="auto" w:fill="FFFFFF"/>
                  <w:vAlign w:val="center"/>
                </w:tcPr>
                <w:p>
                  <w:pPr>
                    <w:jc w:val="center"/>
                    <w:rPr>
                      <w:rFonts w:ascii="Times New Roman" w:hAnsi="Times New Roman" w:cs="Times New Roman"/>
                      <w:color w:val="000000"/>
                      <w:szCs w:val="21"/>
                    </w:rPr>
                  </w:pP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分析日期</w:t>
                  </w:r>
                </w:p>
              </w:tc>
              <w:tc>
                <w:tcPr>
                  <w:tcW w:w="3545" w:type="pct"/>
                  <w:gridSpan w:val="4"/>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2023.05.18-2023.05.19</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分析项目</w:t>
                  </w: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单位</w:t>
                  </w:r>
                </w:p>
              </w:tc>
              <w:tc>
                <w:tcPr>
                  <w:tcW w:w="3545" w:type="pct"/>
                  <w:gridSpan w:val="4"/>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分析结果</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COD</w:t>
                  </w: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mg/L</w:t>
                  </w:r>
                </w:p>
              </w:tc>
              <w:tc>
                <w:tcPr>
                  <w:tcW w:w="712"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111</w:t>
                  </w:r>
                </w:p>
              </w:tc>
              <w:tc>
                <w:tcPr>
                  <w:tcW w:w="93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115</w:t>
                  </w:r>
                </w:p>
              </w:tc>
              <w:tc>
                <w:tcPr>
                  <w:tcW w:w="940"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100</w:t>
                  </w:r>
                </w:p>
              </w:tc>
              <w:tc>
                <w:tcPr>
                  <w:tcW w:w="954"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154</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氨氮</w:t>
                  </w: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mg/L</w:t>
                  </w:r>
                </w:p>
              </w:tc>
              <w:tc>
                <w:tcPr>
                  <w:tcW w:w="712"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0.397</w:t>
                  </w:r>
                </w:p>
              </w:tc>
              <w:tc>
                <w:tcPr>
                  <w:tcW w:w="93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0.383</w:t>
                  </w:r>
                </w:p>
              </w:tc>
              <w:tc>
                <w:tcPr>
                  <w:tcW w:w="940"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0.412</w:t>
                  </w:r>
                </w:p>
              </w:tc>
              <w:tc>
                <w:tcPr>
                  <w:tcW w:w="954"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0.397</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动植物油</w:t>
                  </w: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mg/L</w:t>
                  </w:r>
                </w:p>
              </w:tc>
              <w:tc>
                <w:tcPr>
                  <w:tcW w:w="712"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1.13</w:t>
                  </w:r>
                </w:p>
              </w:tc>
              <w:tc>
                <w:tcPr>
                  <w:tcW w:w="93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1.02</w:t>
                  </w:r>
                </w:p>
              </w:tc>
              <w:tc>
                <w:tcPr>
                  <w:tcW w:w="940"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1.09</w:t>
                  </w:r>
                </w:p>
              </w:tc>
              <w:tc>
                <w:tcPr>
                  <w:tcW w:w="954"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0.96</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SS</w:t>
                  </w: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mg/L</w:t>
                  </w:r>
                </w:p>
              </w:tc>
              <w:tc>
                <w:tcPr>
                  <w:tcW w:w="712"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36</w:t>
                  </w:r>
                </w:p>
              </w:tc>
              <w:tc>
                <w:tcPr>
                  <w:tcW w:w="93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34</w:t>
                  </w:r>
                </w:p>
              </w:tc>
              <w:tc>
                <w:tcPr>
                  <w:tcW w:w="940"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35</w:t>
                  </w:r>
                </w:p>
              </w:tc>
              <w:tc>
                <w:tcPr>
                  <w:tcW w:w="954"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33</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粪大肠菌群</w:t>
                  </w: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MPN/L</w:t>
                  </w:r>
                </w:p>
              </w:tc>
              <w:tc>
                <w:tcPr>
                  <w:tcW w:w="712" w:type="pct"/>
                  <w:tcBorders>
                    <w:tl2br w:val="nil"/>
                    <w:tr2bl w:val="nil"/>
                  </w:tcBorders>
                  <w:shd w:val="clear" w:color="auto" w:fill="FFFFFF"/>
                  <w:vAlign w:val="center"/>
                </w:tcPr>
                <w:p>
                  <w:pPr>
                    <w:jc w:val="center"/>
                    <w:rPr>
                      <w:rFonts w:ascii="Times New Roman" w:hAnsi="Times New Roman" w:cs="Times New Roman"/>
                      <w:color w:val="000000"/>
                      <w:szCs w:val="21"/>
                      <w:vertAlign w:val="superscript"/>
                    </w:rPr>
                  </w:pPr>
                  <w:r>
                    <w:rPr>
                      <w:rFonts w:ascii="Times New Roman" w:hAnsi="Times New Roman" w:cs="Times New Roman"/>
                      <w:color w:val="000000"/>
                      <w:szCs w:val="21"/>
                    </w:rPr>
                    <w:t>5.4×10</w:t>
                  </w:r>
                  <w:r>
                    <w:rPr>
                      <w:rFonts w:ascii="Times New Roman" w:hAnsi="Times New Roman" w:cs="Times New Roman"/>
                      <w:color w:val="000000"/>
                      <w:szCs w:val="21"/>
                      <w:vertAlign w:val="superscript"/>
                    </w:rPr>
                    <w:t>3</w:t>
                  </w:r>
                </w:p>
              </w:tc>
              <w:tc>
                <w:tcPr>
                  <w:tcW w:w="93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4</w:t>
                  </w:r>
                  <w:r>
                    <w:rPr>
                      <w:rFonts w:ascii="Times New Roman" w:hAnsi="Times New Roman" w:cs="Times New Roman"/>
                      <w:color w:val="000000"/>
                      <w:szCs w:val="21"/>
                    </w:rPr>
                    <w:t>.3×10</w:t>
                  </w:r>
                  <w:r>
                    <w:rPr>
                      <w:rFonts w:ascii="Times New Roman" w:hAnsi="Times New Roman" w:cs="Times New Roman"/>
                      <w:color w:val="000000"/>
                      <w:szCs w:val="21"/>
                      <w:vertAlign w:val="superscript"/>
                    </w:rPr>
                    <w:t>3</w:t>
                  </w:r>
                </w:p>
              </w:tc>
              <w:tc>
                <w:tcPr>
                  <w:tcW w:w="940"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5</w:t>
                  </w:r>
                  <w:r>
                    <w:rPr>
                      <w:rFonts w:ascii="Times New Roman" w:hAnsi="Times New Roman" w:cs="Times New Roman"/>
                      <w:color w:val="000000"/>
                      <w:szCs w:val="21"/>
                    </w:rPr>
                    <w:t>.4×10</w:t>
                  </w:r>
                  <w:r>
                    <w:rPr>
                      <w:rFonts w:ascii="Times New Roman" w:hAnsi="Times New Roman" w:cs="Times New Roman"/>
                      <w:color w:val="000000"/>
                      <w:szCs w:val="21"/>
                      <w:vertAlign w:val="superscript"/>
                    </w:rPr>
                    <w:t>3</w:t>
                  </w:r>
                </w:p>
              </w:tc>
              <w:tc>
                <w:tcPr>
                  <w:tcW w:w="954"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3</w:t>
                  </w:r>
                  <w:r>
                    <w:rPr>
                      <w:rFonts w:ascii="Times New Roman" w:hAnsi="Times New Roman" w:cs="Times New Roman"/>
                      <w:color w:val="000000"/>
                      <w:szCs w:val="21"/>
                    </w:rPr>
                    <w:t>.5×10</w:t>
                  </w:r>
                  <w:r>
                    <w:rPr>
                      <w:rFonts w:ascii="Times New Roman" w:hAnsi="Times New Roman" w:cs="Times New Roman"/>
                      <w:color w:val="000000"/>
                      <w:szCs w:val="21"/>
                      <w:vertAlign w:val="superscript"/>
                    </w:rPr>
                    <w:t>3</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vMerge w:val="restar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bCs/>
                      <w:color w:val="000000"/>
                      <w:szCs w:val="21"/>
                    </w:rPr>
                    <w:t>测试报告</w:t>
                  </w: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检测点位</w:t>
                  </w:r>
                </w:p>
              </w:tc>
              <w:tc>
                <w:tcPr>
                  <w:tcW w:w="3545" w:type="pct"/>
                  <w:gridSpan w:val="4"/>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废水排放口</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vMerge w:val="continue"/>
                  <w:tcBorders>
                    <w:tl2br w:val="nil"/>
                    <w:tr2bl w:val="nil"/>
                  </w:tcBorders>
                  <w:shd w:val="clear" w:color="auto" w:fill="FFFFFF"/>
                  <w:vAlign w:val="center"/>
                </w:tcPr>
                <w:p>
                  <w:pPr>
                    <w:jc w:val="center"/>
                    <w:rPr>
                      <w:rFonts w:ascii="Times New Roman" w:hAnsi="Times New Roman" w:cs="Times New Roman"/>
                      <w:color w:val="000000"/>
                      <w:szCs w:val="21"/>
                    </w:rPr>
                  </w:pP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样品编号</w:t>
                  </w:r>
                </w:p>
              </w:tc>
              <w:tc>
                <w:tcPr>
                  <w:tcW w:w="712"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W230519A01</w:t>
                  </w:r>
                </w:p>
              </w:tc>
              <w:tc>
                <w:tcPr>
                  <w:tcW w:w="93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W230519A02</w:t>
                  </w:r>
                </w:p>
              </w:tc>
              <w:tc>
                <w:tcPr>
                  <w:tcW w:w="940"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W230519A03</w:t>
                  </w:r>
                </w:p>
              </w:tc>
              <w:tc>
                <w:tcPr>
                  <w:tcW w:w="954"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W230519A04</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vMerge w:val="continue"/>
                  <w:tcBorders>
                    <w:tl2br w:val="nil"/>
                    <w:tr2bl w:val="nil"/>
                  </w:tcBorders>
                  <w:shd w:val="clear" w:color="auto" w:fill="FFFFFF"/>
                  <w:vAlign w:val="center"/>
                </w:tcPr>
                <w:p>
                  <w:pPr>
                    <w:jc w:val="center"/>
                    <w:rPr>
                      <w:rFonts w:ascii="Times New Roman" w:hAnsi="Times New Roman" w:cs="Times New Roman"/>
                      <w:color w:val="000000"/>
                      <w:szCs w:val="21"/>
                    </w:rPr>
                  </w:pP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样品性状</w:t>
                  </w:r>
                </w:p>
              </w:tc>
              <w:tc>
                <w:tcPr>
                  <w:tcW w:w="3545" w:type="pct"/>
                  <w:gridSpan w:val="4"/>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较</w:t>
                  </w:r>
                  <w:r>
                    <w:rPr>
                      <w:rFonts w:ascii="Times New Roman" w:hAnsi="Times New Roman" w:eastAsia="宋体" w:cs="Times New Roman"/>
                      <w:color w:val="000000"/>
                      <w:szCs w:val="21"/>
                    </w:rPr>
                    <w:t>清澈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vMerge w:val="continue"/>
                  <w:tcBorders>
                    <w:tl2br w:val="nil"/>
                    <w:tr2bl w:val="nil"/>
                  </w:tcBorders>
                  <w:shd w:val="clear" w:color="auto" w:fill="FFFFFF"/>
                  <w:vAlign w:val="center"/>
                </w:tcPr>
                <w:p>
                  <w:pPr>
                    <w:jc w:val="center"/>
                    <w:rPr>
                      <w:rFonts w:ascii="Times New Roman" w:hAnsi="Times New Roman" w:cs="Times New Roman"/>
                      <w:color w:val="000000"/>
                      <w:szCs w:val="21"/>
                    </w:rPr>
                  </w:pP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分析日期</w:t>
                  </w:r>
                </w:p>
              </w:tc>
              <w:tc>
                <w:tcPr>
                  <w:tcW w:w="3545" w:type="pct"/>
                  <w:gridSpan w:val="4"/>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2023.05.19-2023.05.20</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分析项目</w:t>
                  </w: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单位</w:t>
                  </w:r>
                </w:p>
              </w:tc>
              <w:tc>
                <w:tcPr>
                  <w:tcW w:w="3545" w:type="pct"/>
                  <w:gridSpan w:val="4"/>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分析结果</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cs="Times New Roman"/>
                      <w:color w:val="000000"/>
                      <w:szCs w:val="21"/>
                    </w:rPr>
                    <w:t>COD</w:t>
                  </w: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mg/L</w:t>
                  </w:r>
                </w:p>
              </w:tc>
              <w:tc>
                <w:tcPr>
                  <w:tcW w:w="712"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128</w:t>
                  </w:r>
                </w:p>
              </w:tc>
              <w:tc>
                <w:tcPr>
                  <w:tcW w:w="93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144</w:t>
                  </w:r>
                </w:p>
              </w:tc>
              <w:tc>
                <w:tcPr>
                  <w:tcW w:w="940"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134</w:t>
                  </w:r>
                </w:p>
              </w:tc>
              <w:tc>
                <w:tcPr>
                  <w:tcW w:w="954"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124</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氨氮</w:t>
                  </w: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mg/L</w:t>
                  </w:r>
                </w:p>
              </w:tc>
              <w:tc>
                <w:tcPr>
                  <w:tcW w:w="712"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0.383</w:t>
                  </w:r>
                </w:p>
              </w:tc>
              <w:tc>
                <w:tcPr>
                  <w:tcW w:w="93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0.397</w:t>
                  </w:r>
                </w:p>
              </w:tc>
              <w:tc>
                <w:tcPr>
                  <w:tcW w:w="940"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0.412</w:t>
                  </w:r>
                </w:p>
              </w:tc>
              <w:tc>
                <w:tcPr>
                  <w:tcW w:w="954"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0.383</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动植物油</w:t>
                  </w: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mg/L</w:t>
                  </w:r>
                </w:p>
              </w:tc>
              <w:tc>
                <w:tcPr>
                  <w:tcW w:w="712"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1.10</w:t>
                  </w:r>
                </w:p>
              </w:tc>
              <w:tc>
                <w:tcPr>
                  <w:tcW w:w="93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0.90</w:t>
                  </w:r>
                </w:p>
              </w:tc>
              <w:tc>
                <w:tcPr>
                  <w:tcW w:w="940"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0.96</w:t>
                  </w:r>
                </w:p>
              </w:tc>
              <w:tc>
                <w:tcPr>
                  <w:tcW w:w="954"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0.98</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SS</w:t>
                  </w: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mg/L</w:t>
                  </w:r>
                </w:p>
              </w:tc>
              <w:tc>
                <w:tcPr>
                  <w:tcW w:w="712"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38</w:t>
                  </w:r>
                </w:p>
              </w:tc>
              <w:tc>
                <w:tcPr>
                  <w:tcW w:w="93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35</w:t>
                  </w:r>
                </w:p>
              </w:tc>
              <w:tc>
                <w:tcPr>
                  <w:tcW w:w="940"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34</w:t>
                  </w:r>
                </w:p>
              </w:tc>
              <w:tc>
                <w:tcPr>
                  <w:tcW w:w="954"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34</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0" w:hRule="atLeast"/>
              </w:trPr>
              <w:tc>
                <w:tcPr>
                  <w:tcW w:w="59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粪大肠菌群</w:t>
                  </w:r>
                </w:p>
              </w:tc>
              <w:tc>
                <w:tcPr>
                  <w:tcW w:w="855"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MPN/L</w:t>
                  </w:r>
                </w:p>
              </w:tc>
              <w:tc>
                <w:tcPr>
                  <w:tcW w:w="712"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4</w:t>
                  </w:r>
                  <w:r>
                    <w:rPr>
                      <w:rFonts w:ascii="Times New Roman" w:hAnsi="Times New Roman" w:cs="Times New Roman"/>
                      <w:color w:val="000000"/>
                      <w:szCs w:val="21"/>
                    </w:rPr>
                    <w:t>.3×10</w:t>
                  </w:r>
                  <w:r>
                    <w:rPr>
                      <w:rFonts w:ascii="Times New Roman" w:hAnsi="Times New Roman" w:cs="Times New Roman"/>
                      <w:color w:val="000000"/>
                      <w:szCs w:val="21"/>
                      <w:vertAlign w:val="superscript"/>
                    </w:rPr>
                    <w:t>3</w:t>
                  </w:r>
                </w:p>
              </w:tc>
              <w:tc>
                <w:tcPr>
                  <w:tcW w:w="939"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3</w:t>
                  </w:r>
                  <w:r>
                    <w:rPr>
                      <w:rFonts w:ascii="Times New Roman" w:hAnsi="Times New Roman" w:cs="Times New Roman"/>
                      <w:color w:val="000000"/>
                      <w:szCs w:val="21"/>
                    </w:rPr>
                    <w:t>.5×10</w:t>
                  </w:r>
                  <w:r>
                    <w:rPr>
                      <w:rFonts w:ascii="Times New Roman" w:hAnsi="Times New Roman" w:cs="Times New Roman"/>
                      <w:color w:val="000000"/>
                      <w:szCs w:val="21"/>
                      <w:vertAlign w:val="superscript"/>
                    </w:rPr>
                    <w:t>3</w:t>
                  </w:r>
                </w:p>
              </w:tc>
              <w:tc>
                <w:tcPr>
                  <w:tcW w:w="940"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5</w:t>
                  </w:r>
                  <w:r>
                    <w:rPr>
                      <w:rFonts w:ascii="Times New Roman" w:hAnsi="Times New Roman" w:cs="Times New Roman"/>
                      <w:color w:val="000000"/>
                      <w:szCs w:val="21"/>
                    </w:rPr>
                    <w:t>.4×10</w:t>
                  </w:r>
                  <w:r>
                    <w:rPr>
                      <w:rFonts w:ascii="Times New Roman" w:hAnsi="Times New Roman" w:cs="Times New Roman"/>
                      <w:color w:val="000000"/>
                      <w:szCs w:val="21"/>
                      <w:vertAlign w:val="superscript"/>
                    </w:rPr>
                    <w:t>3</w:t>
                  </w:r>
                </w:p>
              </w:tc>
              <w:tc>
                <w:tcPr>
                  <w:tcW w:w="954" w:type="pct"/>
                  <w:tcBorders>
                    <w:tl2br w:val="nil"/>
                    <w:tr2bl w:val="nil"/>
                  </w:tcBorders>
                  <w:shd w:val="clear" w:color="auto" w:fill="FFFFFF"/>
                  <w:vAlign w:val="center"/>
                </w:tcPr>
                <w:p>
                  <w:pPr>
                    <w:jc w:val="center"/>
                    <w:rPr>
                      <w:rFonts w:ascii="Times New Roman" w:hAnsi="Times New Roman" w:cs="Times New Roman"/>
                      <w:color w:val="000000"/>
                      <w:szCs w:val="21"/>
                    </w:rPr>
                  </w:pPr>
                  <w:r>
                    <w:rPr>
                      <w:rFonts w:ascii="Times New Roman" w:hAnsi="Times New Roman" w:eastAsia="宋体" w:cs="Times New Roman"/>
                      <w:color w:val="000000"/>
                      <w:szCs w:val="21"/>
                    </w:rPr>
                    <w:t>4</w:t>
                  </w:r>
                  <w:r>
                    <w:rPr>
                      <w:rFonts w:ascii="Times New Roman" w:hAnsi="Times New Roman" w:cs="Times New Roman"/>
                      <w:color w:val="000000"/>
                      <w:szCs w:val="21"/>
                    </w:rPr>
                    <w:t>.3×10</w:t>
                  </w:r>
                  <w:r>
                    <w:rPr>
                      <w:rFonts w:ascii="Times New Roman" w:hAnsi="Times New Roman" w:cs="Times New Roman"/>
                      <w:color w:val="000000"/>
                      <w:szCs w:val="21"/>
                      <w:vertAlign w:val="superscript"/>
                    </w:rPr>
                    <w:t>3</w:t>
                  </w:r>
                </w:p>
              </w:tc>
            </w:tr>
          </w:tbl>
          <w:p>
            <w:pPr>
              <w:autoSpaceDE w:val="0"/>
              <w:autoSpaceDN w:val="0"/>
              <w:adjustRightInd w:val="0"/>
              <w:snapToGrid w:val="0"/>
              <w:spacing w:line="500" w:lineRule="exact"/>
              <w:ind w:firstLine="420" w:firstLineChars="200"/>
              <w:rPr>
                <w:rFonts w:ascii="Times New Roman" w:hAnsi="Times New Roman" w:eastAsia="宋体" w:cs="Times New Roman"/>
                <w:szCs w:val="22"/>
              </w:rPr>
            </w:pPr>
            <w:r>
              <w:rPr>
                <w:rFonts w:ascii="Times New Roman" w:hAnsi="Times New Roman" w:eastAsia="宋体" w:cs="Times New Roman"/>
                <w:szCs w:val="22"/>
              </w:rPr>
              <w:t>根据废水监测数据，本项目废水满足可满足《</w:t>
            </w:r>
            <w:r>
              <w:fldChar w:fldCharType="begin"/>
            </w:r>
            <w:r>
              <w:instrText xml:space="preserve"> HYPERLINK "http://www.xmems.org.cn/cgi-bin/dbbz/show.cgi?id=33" </w:instrText>
            </w:r>
            <w:r>
              <w:fldChar w:fldCharType="separate"/>
            </w:r>
            <w:r>
              <w:rPr>
                <w:rFonts w:ascii="Times New Roman" w:hAnsi="Times New Roman" w:eastAsia="宋体" w:cs="Times New Roman"/>
                <w:szCs w:val="22"/>
              </w:rPr>
              <w:t>污水综合排放标准</w:t>
            </w:r>
            <w:r>
              <w:rPr>
                <w:rFonts w:ascii="Times New Roman" w:hAnsi="Times New Roman" w:eastAsia="宋体" w:cs="Times New Roman"/>
                <w:szCs w:val="22"/>
              </w:rPr>
              <w:fldChar w:fldCharType="end"/>
            </w:r>
            <w:r>
              <w:rPr>
                <w:rFonts w:ascii="Times New Roman" w:hAnsi="Times New Roman" w:eastAsia="宋体" w:cs="Times New Roman"/>
                <w:szCs w:val="22"/>
              </w:rPr>
              <w:t>》（GB8978-1996）三级标准及东城污水处理厂进水指标接排放标准。</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4、固废管理结果</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验收期间：</w:t>
            </w:r>
          </w:p>
          <w:p>
            <w:pPr>
              <w:pStyle w:val="17"/>
              <w:spacing w:before="0" w:beforeAutospacing="0" w:after="0" w:afterAutospacing="0" w:line="500" w:lineRule="exact"/>
              <w:ind w:firstLine="420" w:firstLineChars="200"/>
              <w:jc w:val="both"/>
              <w:rPr>
                <w:rFonts w:ascii="Times New Roman" w:hAnsi="Times New Roman" w:eastAsia="宋体"/>
                <w:kern w:val="2"/>
                <w:sz w:val="21"/>
                <w:szCs w:val="22"/>
              </w:rPr>
            </w:pPr>
            <w:r>
              <w:rPr>
                <w:rFonts w:ascii="Times New Roman" w:hAnsi="Times New Roman" w:eastAsia="宋体"/>
                <w:kern w:val="2"/>
                <w:sz w:val="21"/>
                <w:szCs w:val="22"/>
              </w:rPr>
              <w:t>本项目产生的生活垃圾设置简易垃圾桶进行收集，生活垃圾经收集后定期拉运至城市垃圾填埋场处理。废石料、除尘器收集的固废经集中收集后，外售综合利用。废活性炭、废导热油经收集后暂存于危废暂存间，定期交由有相应资质的危险废物处置单位处置，并做好台账。本项目固体废物处理率100%，危险废物做到安全处置，不会对环境造成二次污染。</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因此，本项目产生的固体废物</w:t>
            </w:r>
            <w:r>
              <w:rPr>
                <w:rFonts w:ascii="Times New Roman" w:hAnsi="Times New Roman" w:eastAsia="宋体"/>
                <w:kern w:val="2"/>
                <w:sz w:val="21"/>
                <w:szCs w:val="21"/>
              </w:rPr>
              <w:t>对外环境影响比较小。</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5、应急预案</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制定切实有效的环境污染事故应急预案，对可能存在的环境污染事故进行快速、高效、有序的预防、控制和应急处理，最大限度地减少环境污染。针对可能发生的风险事故，结合区域自然条件、环境状况、地理位置等特点，制定应急预案，包括以下基本内容：</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（1）组织及其职责</w:t>
            </w:r>
          </w:p>
          <w:p>
            <w:pPr>
              <w:pStyle w:val="17"/>
              <w:widowControl/>
              <w:spacing w:before="0" w:beforeAutospacing="0" w:after="0" w:afterAutospacing="0" w:line="500" w:lineRule="exact"/>
              <w:ind w:firstLine="420" w:firstLineChars="200"/>
              <w:rPr>
                <w:rFonts w:ascii="Times New Roman" w:hAnsi="Times New Roman"/>
              </w:rPr>
            </w:pPr>
            <w:r>
              <w:rPr>
                <w:rFonts w:ascii="宋体" w:hAnsi="Times New Roman" w:eastAsia="宋体"/>
                <w:kern w:val="2"/>
                <w:sz w:val="21"/>
                <w:szCs w:val="22"/>
              </w:rPr>
              <w:t>①</w:t>
            </w:r>
            <w:r>
              <w:rPr>
                <w:rFonts w:ascii="Times New Roman" w:hAnsi="Times New Roman" w:eastAsia="宋体"/>
                <w:kern w:val="2"/>
                <w:sz w:val="21"/>
                <w:szCs w:val="22"/>
              </w:rPr>
              <w:t>应急救援组织机构设置</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依据事故危害程度的设置分级应急救援组织机构。</w:t>
            </w:r>
          </w:p>
          <w:p>
            <w:pPr>
              <w:pStyle w:val="17"/>
              <w:widowControl/>
              <w:spacing w:before="0" w:beforeAutospacing="0" w:after="0" w:afterAutospacing="0" w:line="500" w:lineRule="exact"/>
              <w:ind w:firstLine="420" w:firstLineChars="200"/>
              <w:rPr>
                <w:rFonts w:ascii="Times New Roman" w:hAnsi="Times New Roman"/>
              </w:rPr>
            </w:pPr>
            <w:r>
              <w:rPr>
                <w:rFonts w:ascii="宋体" w:hAnsi="Times New Roman" w:eastAsia="宋体"/>
                <w:kern w:val="2"/>
                <w:sz w:val="21"/>
                <w:szCs w:val="22"/>
              </w:rPr>
              <w:t>②</w:t>
            </w:r>
            <w:r>
              <w:rPr>
                <w:rFonts w:ascii="Times New Roman" w:hAnsi="Times New Roman" w:eastAsia="宋体"/>
                <w:kern w:val="2"/>
                <w:sz w:val="21"/>
                <w:szCs w:val="22"/>
              </w:rPr>
              <w:t>组织人员由主要负责人、有关管理人员、现场指挥人员组成。</w:t>
            </w:r>
          </w:p>
          <w:p>
            <w:pPr>
              <w:pStyle w:val="17"/>
              <w:widowControl/>
              <w:spacing w:before="0" w:beforeAutospacing="0" w:after="0" w:afterAutospacing="0" w:line="500" w:lineRule="exact"/>
              <w:ind w:firstLine="420" w:firstLineChars="200"/>
              <w:rPr>
                <w:rFonts w:ascii="Times New Roman" w:hAnsi="Times New Roman"/>
              </w:rPr>
            </w:pPr>
            <w:r>
              <w:rPr>
                <w:rFonts w:ascii="宋体" w:hAnsi="Times New Roman" w:eastAsia="宋体"/>
                <w:kern w:val="2"/>
                <w:sz w:val="21"/>
                <w:szCs w:val="22"/>
              </w:rPr>
              <w:t>③</w:t>
            </w:r>
            <w:r>
              <w:rPr>
                <w:rFonts w:ascii="Times New Roman" w:hAnsi="Times New Roman" w:eastAsia="宋体"/>
                <w:kern w:val="2"/>
                <w:sz w:val="21"/>
                <w:szCs w:val="22"/>
              </w:rPr>
              <w:t>主要职责</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组织制订事故应急救援预案；负责人员、资源配置、应急队伍的调动；确定现场指挥人员；协调风险事故现场有关工作。</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成立应急组织管理机构，应急组织管理机构负责编制各类可能发生的风险事故的应急计划，并负责传达到指挥和控制人员、应急服务部门、可能受到影响的员工和其他可能受到影响的相关方，负责对突发性事故进行应急处理。</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（2）教育与应急演习</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应急组织管理机构对岗位人员，要加强日常的应急处理能力的培训和提高；对应急计划中有关的每个人的职责要有明确分工，并进行安全培训，使每一名岗位人员都能准确、灵活地掌握消防、安全设备，对每一项具体的应急计划都要进行定期训练和演习，确保进行有效的处理和防护工作。</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（3）报告</w:t>
            </w:r>
          </w:p>
          <w:p>
            <w:pPr>
              <w:pStyle w:val="17"/>
              <w:widowControl/>
              <w:spacing w:before="0" w:beforeAutospacing="0" w:after="0" w:afterAutospacing="0" w:line="500" w:lineRule="exact"/>
              <w:ind w:firstLine="420" w:firstLineChars="200"/>
              <w:rPr>
                <w:rFonts w:ascii="Times New Roman" w:hAnsi="Times New Roman"/>
              </w:rPr>
            </w:pPr>
            <w:r>
              <w:rPr>
                <w:rFonts w:ascii="宋体" w:hAnsi="Times New Roman" w:eastAsia="宋体"/>
                <w:kern w:val="2"/>
                <w:sz w:val="21"/>
                <w:szCs w:val="22"/>
              </w:rPr>
              <w:t>①</w:t>
            </w:r>
            <w:r>
              <w:rPr>
                <w:rFonts w:ascii="Times New Roman" w:hAnsi="Times New Roman" w:eastAsia="宋体"/>
                <w:kern w:val="2"/>
                <w:sz w:val="21"/>
                <w:szCs w:val="22"/>
              </w:rPr>
              <w:t>发生突发紧急事件，岗位员工迅速判断分析，立即向应急小组汇报，并启动事故预案；</w:t>
            </w:r>
          </w:p>
          <w:p>
            <w:pPr>
              <w:pStyle w:val="17"/>
              <w:widowControl/>
              <w:spacing w:before="0" w:beforeAutospacing="0" w:after="0" w:afterAutospacing="0" w:line="500" w:lineRule="exact"/>
              <w:ind w:firstLine="420" w:firstLineChars="200"/>
              <w:rPr>
                <w:rFonts w:ascii="Times New Roman" w:hAnsi="Times New Roman"/>
              </w:rPr>
            </w:pPr>
            <w:r>
              <w:rPr>
                <w:rFonts w:ascii="宋体" w:hAnsi="Times New Roman" w:eastAsia="宋体"/>
                <w:kern w:val="2"/>
                <w:sz w:val="21"/>
                <w:szCs w:val="22"/>
              </w:rPr>
              <w:t>②</w:t>
            </w:r>
            <w:r>
              <w:rPr>
                <w:rFonts w:ascii="Times New Roman" w:hAnsi="Times New Roman" w:eastAsia="宋体"/>
                <w:kern w:val="2"/>
                <w:sz w:val="21"/>
                <w:szCs w:val="22"/>
              </w:rPr>
              <w:t>如果事态较大无法控制时，立即向园区内相关管理部门进行汇报，等待应急小组应急处理，并配合做好事故控制工作；</w:t>
            </w:r>
          </w:p>
          <w:p>
            <w:pPr>
              <w:pStyle w:val="17"/>
              <w:widowControl/>
              <w:spacing w:before="0" w:beforeAutospacing="0" w:after="0" w:afterAutospacing="0" w:line="500" w:lineRule="exact"/>
              <w:ind w:firstLine="420" w:firstLineChars="200"/>
              <w:rPr>
                <w:rFonts w:ascii="Times New Roman" w:hAnsi="Times New Roman"/>
              </w:rPr>
            </w:pPr>
            <w:r>
              <w:rPr>
                <w:rFonts w:ascii="宋体" w:hAnsi="Times New Roman" w:eastAsia="宋体"/>
                <w:kern w:val="2"/>
                <w:sz w:val="21"/>
                <w:szCs w:val="22"/>
              </w:rPr>
              <w:t>③</w:t>
            </w:r>
            <w:r>
              <w:rPr>
                <w:rFonts w:ascii="Times New Roman" w:hAnsi="Times New Roman" w:eastAsia="宋体"/>
                <w:kern w:val="2"/>
                <w:sz w:val="21"/>
                <w:szCs w:val="22"/>
              </w:rPr>
              <w:t>及时向相关部门汇报内容包括事件发生时间、地点；事件起因；事件损害或可能的损害；已采取的应对措施和进展情况；报告单位、报告人、联系方式和报告时间。</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（4）记录</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a.环境污染事故（事件）报告单；</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b.应急演习记录；</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c.事故应急预案框架。</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事故应急方案，对防止事故发生、发生事故后有效控制事故、最大限度减少事故造成的损失有重要作用。</w:t>
            </w:r>
          </w:p>
          <w:p>
            <w:pPr>
              <w:pStyle w:val="17"/>
              <w:widowControl/>
              <w:spacing w:before="0" w:beforeAutospacing="0" w:after="0" w:afterAutospacing="0" w:line="500" w:lineRule="exact"/>
              <w:ind w:firstLine="420" w:firstLineChars="200"/>
              <w:rPr>
                <w:rFonts w:ascii="Times New Roman" w:hAnsi="Times New Roman" w:eastAsia="宋体"/>
                <w:kern w:val="2"/>
                <w:sz w:val="21"/>
                <w:szCs w:val="22"/>
              </w:rPr>
            </w:pPr>
            <w:r>
              <w:rPr>
                <w:rFonts w:ascii="Times New Roman" w:hAnsi="Times New Roman" w:eastAsia="宋体"/>
                <w:kern w:val="2"/>
                <w:sz w:val="21"/>
                <w:szCs w:val="22"/>
              </w:rPr>
              <w:t>6、环境管理情况</w:t>
            </w:r>
          </w:p>
          <w:p>
            <w:pPr>
              <w:pStyle w:val="17"/>
              <w:widowControl/>
              <w:spacing w:before="0" w:beforeAutospacing="0" w:after="0" w:afterAutospacing="0" w:line="500" w:lineRule="exact"/>
              <w:ind w:firstLine="420" w:firstLineChars="200"/>
              <w:rPr>
                <w:rFonts w:ascii="Times New Roman" w:hAnsi="Times New Roman" w:eastAsia="宋体"/>
                <w:kern w:val="2"/>
                <w:sz w:val="21"/>
                <w:szCs w:val="22"/>
              </w:rPr>
            </w:pPr>
            <w:r>
              <w:rPr>
                <w:rFonts w:ascii="Times New Roman" w:hAnsi="Times New Roman" w:eastAsia="宋体"/>
                <w:kern w:val="2"/>
                <w:sz w:val="21"/>
                <w:szCs w:val="22"/>
              </w:rPr>
              <w:t>建设单位黑龙江路原沥青混凝土有限公司委托兴建安环生态环境有限公司承担该项目的环境影响评价工作。环境影响评价单位在现场勘查和资料调研的基础上，于2020年8月编制完成了《黑龙江路原环保型沥青（彩色）混凝土拌合站建设项目环境影响报告表》，并上报主管审批部门大庆市龙凤区环境保护局。2020年9月5日，大庆市龙凤区环境保护局龙环建审[2020]20号文对该项目的环境影响报告表做了批复。</w:t>
            </w:r>
          </w:p>
          <w:p>
            <w:pPr>
              <w:pStyle w:val="17"/>
              <w:widowControl/>
              <w:spacing w:before="0" w:beforeAutospacing="0" w:after="0" w:afterAutospacing="0" w:line="500" w:lineRule="exact"/>
              <w:ind w:firstLine="420" w:firstLineChars="200"/>
              <w:rPr>
                <w:rFonts w:ascii="Times New Roman" w:hAnsi="Times New Roman" w:eastAsia="宋体"/>
                <w:kern w:val="2"/>
                <w:sz w:val="21"/>
                <w:szCs w:val="22"/>
              </w:rPr>
            </w:pPr>
            <w:r>
              <w:rPr>
                <w:rFonts w:ascii="Times New Roman" w:hAnsi="Times New Roman" w:eastAsia="宋体"/>
                <w:kern w:val="2"/>
                <w:sz w:val="21"/>
                <w:szCs w:val="22"/>
              </w:rPr>
              <w:t>该建设项目于2021年4月开工建设，20</w:t>
            </w:r>
            <w:r>
              <w:rPr>
                <w:rFonts w:hint="eastAsia" w:ascii="Times New Roman" w:hAnsi="Times New Roman" w:eastAsia="宋体"/>
                <w:kern w:val="2"/>
                <w:sz w:val="21"/>
                <w:szCs w:val="22"/>
              </w:rPr>
              <w:t>21</w:t>
            </w:r>
            <w:r>
              <w:rPr>
                <w:rFonts w:ascii="Times New Roman" w:hAnsi="Times New Roman" w:eastAsia="宋体"/>
                <w:kern w:val="2"/>
                <w:sz w:val="21"/>
                <w:szCs w:val="22"/>
              </w:rPr>
              <w:t>年</w:t>
            </w:r>
            <w:r>
              <w:rPr>
                <w:rFonts w:hint="eastAsia" w:ascii="Times New Roman" w:hAnsi="Times New Roman" w:eastAsia="宋体"/>
                <w:kern w:val="2"/>
                <w:sz w:val="21"/>
                <w:szCs w:val="22"/>
              </w:rPr>
              <w:t>8</w:t>
            </w:r>
            <w:r>
              <w:rPr>
                <w:rFonts w:ascii="Times New Roman" w:hAnsi="Times New Roman" w:eastAsia="宋体"/>
                <w:kern w:val="2"/>
                <w:sz w:val="21"/>
                <w:szCs w:val="22"/>
              </w:rPr>
              <w:t>月竣工。202</w:t>
            </w:r>
            <w:r>
              <w:rPr>
                <w:rFonts w:hint="eastAsia" w:ascii="Times New Roman" w:hAnsi="Times New Roman" w:eastAsia="宋体"/>
                <w:kern w:val="2"/>
                <w:sz w:val="21"/>
                <w:szCs w:val="22"/>
              </w:rPr>
              <w:t>3</w:t>
            </w:r>
            <w:r>
              <w:rPr>
                <w:rFonts w:ascii="Times New Roman" w:hAnsi="Times New Roman" w:eastAsia="宋体"/>
                <w:kern w:val="2"/>
                <w:sz w:val="21"/>
                <w:szCs w:val="22"/>
              </w:rPr>
              <w:t>年</w:t>
            </w:r>
            <w:r>
              <w:rPr>
                <w:rFonts w:hint="eastAsia" w:ascii="Times New Roman" w:hAnsi="Times New Roman" w:eastAsia="宋体"/>
                <w:kern w:val="2"/>
                <w:sz w:val="21"/>
                <w:szCs w:val="22"/>
              </w:rPr>
              <w:t>4</w:t>
            </w:r>
            <w:r>
              <w:rPr>
                <w:rFonts w:ascii="Times New Roman" w:hAnsi="Times New Roman" w:eastAsia="宋体"/>
                <w:kern w:val="2"/>
                <w:sz w:val="21"/>
                <w:szCs w:val="22"/>
              </w:rPr>
              <w:t>月开始调试生产。现该建设项目已完成排污许可证申报工作。排污许可证证书编号：91230603MA1BXMJW1U001U。项目从立项至调试过程中无环境投诉、违法或处罚记录等。</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7、环境风险管控情况</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企业应加强加强风险防控措施，健全环境应急管理体系、明确重点岗位的人员职责、建立风险设施巡检及维护制度、建立突发环境事件信息报告制度，企业定期开展突发环境事件应急预案内容培训及演练和开展应急法律法规知识的宣传和学习。</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针对本工程的具体特点，环境风险应急措施主要包括在储存过程中发生火灾的情况。发生火灾事故后，应立即报警，根据不同的介质选择相应的灭火器材实施扑救，将事故设备隔离，防止火势扩大、蔓延及连通相邻设备发生连锁火灾事故。如发生泄漏事故，应立即进行抢修、清除。</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风险事故应急预案是在贯彻预防为主的前提下，对建设项目可能出现事故，为及时控制危害源，抢救受害人员，指导居民防护和组织撤离，消除危害后果而组织的救援活动的预想方案，需要建设单位和社会救援的相结合。企业应按储存危险品应有安全许可，需另行办理。</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（1）风险事故处置程序</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风险事故处置的核心是及时报警，正确决策，迅速扑救，各部门充分配合、协调行动。</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（2）应急反应计划</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应急反应计划一般应包括：</w:t>
            </w:r>
            <w:r>
              <w:rPr>
                <w:rFonts w:ascii="宋体" w:hAnsi="Times New Roman" w:eastAsia="宋体"/>
                <w:kern w:val="2"/>
                <w:sz w:val="21"/>
                <w:szCs w:val="22"/>
              </w:rPr>
              <w:t>①</w:t>
            </w:r>
            <w:r>
              <w:rPr>
                <w:rFonts w:ascii="Times New Roman" w:hAnsi="Times New Roman" w:eastAsia="宋体"/>
                <w:kern w:val="2"/>
                <w:sz w:val="21"/>
                <w:szCs w:val="22"/>
              </w:rPr>
              <w:t>应急组织及其职责；</w:t>
            </w:r>
            <w:r>
              <w:rPr>
                <w:rFonts w:ascii="宋体" w:hAnsi="Times New Roman" w:eastAsia="宋体"/>
                <w:kern w:val="2"/>
                <w:sz w:val="21"/>
                <w:szCs w:val="22"/>
              </w:rPr>
              <w:t>②</w:t>
            </w:r>
            <w:r>
              <w:rPr>
                <w:rFonts w:ascii="Times New Roman" w:hAnsi="Times New Roman" w:eastAsia="宋体"/>
                <w:kern w:val="2"/>
                <w:sz w:val="21"/>
                <w:szCs w:val="22"/>
              </w:rPr>
              <w:t>应急设施、设备与器材；</w:t>
            </w:r>
            <w:r>
              <w:rPr>
                <w:rFonts w:ascii="宋体" w:hAnsi="Times New Roman" w:eastAsia="宋体"/>
                <w:kern w:val="2"/>
                <w:sz w:val="21"/>
                <w:szCs w:val="22"/>
              </w:rPr>
              <w:t>③</w:t>
            </w:r>
            <w:r>
              <w:rPr>
                <w:rFonts w:ascii="Times New Roman" w:hAnsi="Times New Roman" w:eastAsia="宋体"/>
                <w:kern w:val="2"/>
                <w:sz w:val="21"/>
                <w:szCs w:val="22"/>
              </w:rPr>
              <w:t>应急通讯联络；</w:t>
            </w:r>
            <w:r>
              <w:rPr>
                <w:rFonts w:ascii="宋体" w:hAnsi="Times New Roman" w:eastAsia="宋体"/>
                <w:kern w:val="2"/>
                <w:sz w:val="21"/>
                <w:szCs w:val="22"/>
              </w:rPr>
              <w:t>④</w:t>
            </w:r>
            <w:r>
              <w:rPr>
                <w:rFonts w:ascii="Times New Roman" w:hAnsi="Times New Roman" w:eastAsia="宋体"/>
                <w:kern w:val="2"/>
                <w:sz w:val="21"/>
                <w:szCs w:val="22"/>
              </w:rPr>
              <w:t>应急监测；</w:t>
            </w:r>
            <w:r>
              <w:rPr>
                <w:rFonts w:ascii="宋体" w:hAnsi="Times New Roman" w:eastAsia="宋体"/>
                <w:kern w:val="2"/>
                <w:sz w:val="21"/>
                <w:szCs w:val="22"/>
              </w:rPr>
              <w:t>⑤</w:t>
            </w:r>
            <w:r>
              <w:rPr>
                <w:rFonts w:ascii="Times New Roman" w:hAnsi="Times New Roman" w:eastAsia="宋体"/>
                <w:kern w:val="2"/>
                <w:sz w:val="21"/>
                <w:szCs w:val="22"/>
              </w:rPr>
              <w:t>应急安全、保卫、医学救援；</w:t>
            </w:r>
            <w:r>
              <w:rPr>
                <w:rFonts w:ascii="宋体" w:hAnsi="Times New Roman" w:eastAsia="宋体"/>
                <w:kern w:val="2"/>
                <w:sz w:val="21"/>
                <w:szCs w:val="22"/>
              </w:rPr>
              <w:t>⑥</w:t>
            </w:r>
            <w:r>
              <w:rPr>
                <w:rFonts w:ascii="Times New Roman" w:hAnsi="Times New Roman" w:eastAsia="宋体"/>
                <w:kern w:val="2"/>
                <w:sz w:val="21"/>
                <w:szCs w:val="22"/>
              </w:rPr>
              <w:t>应急撤离措施；</w:t>
            </w:r>
            <w:r>
              <w:rPr>
                <w:rFonts w:ascii="宋体" w:hAnsi="Times New Roman" w:eastAsia="宋体"/>
                <w:kern w:val="2"/>
                <w:sz w:val="21"/>
                <w:szCs w:val="22"/>
              </w:rPr>
              <w:t>⑦</w:t>
            </w:r>
            <w:r>
              <w:rPr>
                <w:rFonts w:ascii="Times New Roman" w:hAnsi="Times New Roman" w:eastAsia="宋体"/>
                <w:kern w:val="2"/>
                <w:sz w:val="21"/>
                <w:szCs w:val="22"/>
              </w:rPr>
              <w:t>事故应急救援关闭程序与恢复措施；</w:t>
            </w:r>
            <w:r>
              <w:rPr>
                <w:rFonts w:ascii="宋体" w:hAnsi="Times New Roman" w:eastAsia="宋体"/>
                <w:kern w:val="2"/>
                <w:sz w:val="21"/>
                <w:szCs w:val="22"/>
              </w:rPr>
              <w:t>⑧</w:t>
            </w:r>
            <w:r>
              <w:rPr>
                <w:rFonts w:ascii="Times New Roman" w:hAnsi="Times New Roman" w:eastAsia="宋体"/>
                <w:kern w:val="2"/>
                <w:sz w:val="21"/>
                <w:szCs w:val="22"/>
              </w:rPr>
              <w:t>事故后果评价；</w:t>
            </w:r>
            <w:r>
              <w:rPr>
                <w:rFonts w:ascii="宋体" w:hAnsi="Times New Roman" w:eastAsia="宋体"/>
                <w:kern w:val="2"/>
                <w:sz w:val="21"/>
                <w:szCs w:val="22"/>
              </w:rPr>
              <w:t>⑨</w:t>
            </w:r>
            <w:r>
              <w:rPr>
                <w:rFonts w:ascii="Times New Roman" w:hAnsi="Times New Roman" w:eastAsia="宋体"/>
                <w:kern w:val="2"/>
                <w:sz w:val="21"/>
                <w:szCs w:val="22"/>
              </w:rPr>
              <w:t>应急演习；</w:t>
            </w:r>
            <w:r>
              <w:rPr>
                <w:rFonts w:ascii="宋体" w:hAnsi="Times New Roman" w:eastAsia="宋体"/>
                <w:kern w:val="2"/>
                <w:sz w:val="21"/>
                <w:szCs w:val="22"/>
              </w:rPr>
              <w:t>⑩</w:t>
            </w:r>
            <w:r>
              <w:rPr>
                <w:rFonts w:ascii="Times New Roman" w:hAnsi="Times New Roman" w:eastAsia="宋体"/>
                <w:kern w:val="2"/>
                <w:sz w:val="21"/>
                <w:szCs w:val="22"/>
              </w:rPr>
              <w:t>公众教育和信息等。</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应急组织及其职责：处置中心应设有应急组织，负责事故时的组织工作。为保证安全生产不仅应制定《安全生产责任制》等安全生产制度，同时还应制定《环境保护管理规定》等制度。</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应急设施主要包括：防火灾、爆炸事故应急设施、设备与材料，例如：小型灭火设备、急救箱、紧急洗眼器、防毒面具等。</w:t>
            </w:r>
          </w:p>
          <w:p>
            <w:pPr>
              <w:pStyle w:val="17"/>
              <w:widowControl/>
              <w:spacing w:before="0" w:beforeAutospacing="0" w:after="0" w:afterAutospacing="0" w:line="500" w:lineRule="exact"/>
              <w:ind w:firstLine="420" w:firstLineChars="200"/>
              <w:rPr>
                <w:rFonts w:ascii="Times New Roman" w:hAnsi="Times New Roman"/>
              </w:rPr>
            </w:pPr>
            <w:r>
              <w:rPr>
                <w:rFonts w:ascii="Times New Roman" w:hAnsi="Times New Roman" w:eastAsia="宋体"/>
                <w:kern w:val="2"/>
                <w:sz w:val="21"/>
                <w:szCs w:val="22"/>
              </w:rPr>
              <w:t>应急报警程序、通讯联络方式：一旦发生泄漏、火灾时，所有岗位人员首先采取自身保护措施并严格快速执行报警程序。</w:t>
            </w:r>
          </w:p>
          <w:p>
            <w:pPr>
              <w:pStyle w:val="17"/>
              <w:keepNext w:val="0"/>
              <w:keepLines w:val="0"/>
              <w:pageBreakBefore w:val="0"/>
              <w:widowControl w:val="0"/>
              <w:kinsoku/>
              <w:wordWrap/>
              <w:overflowPunct/>
              <w:topLinePunct w:val="0"/>
              <w:autoSpaceDE w:val="0"/>
              <w:autoSpaceDN/>
              <w:bidi w:val="0"/>
              <w:adjustRightInd/>
              <w:snapToGrid/>
              <w:spacing w:before="0" w:beforeAutospacing="0" w:after="0" w:afterAutospacing="0" w:line="480" w:lineRule="exact"/>
              <w:ind w:firstLine="420" w:firstLineChars="200"/>
              <w:textAlignment w:val="auto"/>
              <w:rPr>
                <w:rFonts w:ascii="Times New Roman" w:hAnsi="Times New Roman"/>
                <w:sz w:val="21"/>
                <w:szCs w:val="21"/>
              </w:rPr>
            </w:pPr>
            <w:r>
              <w:rPr>
                <w:rFonts w:ascii="Times New Roman" w:hAnsi="Times New Roman" w:eastAsia="宋体"/>
                <w:sz w:val="21"/>
                <w:szCs w:val="21"/>
              </w:rPr>
              <w:t>8、人员配备情况</w:t>
            </w:r>
          </w:p>
          <w:p>
            <w:pPr>
              <w:pStyle w:val="17"/>
              <w:keepNext w:val="0"/>
              <w:keepLines w:val="0"/>
              <w:pageBreakBefore w:val="0"/>
              <w:widowControl w:val="0"/>
              <w:kinsoku/>
              <w:wordWrap/>
              <w:overflowPunct/>
              <w:topLinePunct w:val="0"/>
              <w:autoSpaceDE w:val="0"/>
              <w:autoSpaceDN/>
              <w:bidi w:val="0"/>
              <w:adjustRightInd/>
              <w:snapToGrid/>
              <w:spacing w:before="0" w:beforeAutospacing="0" w:after="0" w:afterAutospacing="0" w:line="480" w:lineRule="exact"/>
              <w:ind w:firstLine="420" w:firstLineChars="200"/>
              <w:textAlignment w:val="auto"/>
              <w:rPr>
                <w:rFonts w:ascii="Times New Roman" w:hAnsi="Times New Roman" w:eastAsia="宋体"/>
                <w:sz w:val="21"/>
                <w:szCs w:val="21"/>
              </w:rPr>
            </w:pPr>
            <w:r>
              <w:rPr>
                <w:rFonts w:ascii="Times New Roman" w:hAnsi="Times New Roman" w:eastAsia="宋体"/>
                <w:sz w:val="21"/>
                <w:szCs w:val="21"/>
              </w:rPr>
              <w:t>本项目运营期由黑龙江路原沥青混凝土有限公司的内部环境管理机构。环保局为项目的外部环境管理机构，对项目进行环境监督管理和卫生监督管理。</w:t>
            </w:r>
          </w:p>
          <w:p>
            <w:pPr>
              <w:pStyle w:val="17"/>
              <w:keepNext w:val="0"/>
              <w:keepLines w:val="0"/>
              <w:pageBreakBefore w:val="0"/>
              <w:widowControl w:val="0"/>
              <w:kinsoku/>
              <w:wordWrap/>
              <w:overflowPunct/>
              <w:topLinePunct w:val="0"/>
              <w:autoSpaceDE w:val="0"/>
              <w:autoSpaceDN/>
              <w:bidi w:val="0"/>
              <w:adjustRightInd/>
              <w:snapToGrid/>
              <w:spacing w:before="0" w:beforeAutospacing="0" w:after="0" w:afterAutospacing="0" w:line="480" w:lineRule="exact"/>
              <w:ind w:firstLine="420" w:firstLineChars="200"/>
              <w:textAlignment w:val="auto"/>
              <w:rPr>
                <w:rFonts w:eastAsia="仿宋_GB2312"/>
                <w:color w:val="FF0000"/>
                <w:szCs w:val="21"/>
              </w:rPr>
            </w:pPr>
            <w:r>
              <w:rPr>
                <w:rFonts w:ascii="Times New Roman" w:hAnsi="Times New Roman" w:eastAsia="宋体"/>
                <w:sz w:val="21"/>
                <w:szCs w:val="21"/>
              </w:rPr>
              <w:t>内部环境管理机构作为企业管理体系中的一部分，应与之相协调统一。实行领导下“一人主管，分工负责；职能部门，各负其责；落实基层，监督考核”的原则，其主要领导人为朱秋义，建立以领导为核心的全员责任制的环境管理体系。使环境管理贯穿于机构管理的整个过程，并落实到各个层次，分解到生产的各个环节，把机构管理与环境管理紧密地结合起来，不但要建立完善的企业管理体系和各种规章制度，也要建立完善的环境管理体系和各种规章制度，使机构的环境管理工作真正落到实处。</w:t>
            </w:r>
          </w:p>
        </w:tc>
      </w:tr>
    </w:tbl>
    <w:p>
      <w:pPr>
        <w:spacing w:line="360" w:lineRule="auto"/>
        <w:outlineLvl w:val="0"/>
        <w:rPr>
          <w:rFonts w:ascii="Times New Roman" w:hAnsi="Times New Roman" w:eastAsia="黑体" w:cs="Times New Roman"/>
          <w:bCs/>
          <w:color w:val="000000" w:themeColor="text1"/>
          <w:sz w:val="24"/>
        </w:rPr>
      </w:pPr>
      <w:bookmarkStart w:id="13" w:name="_Toc12734"/>
      <w:r>
        <w:rPr>
          <w:rFonts w:ascii="Times New Roman" w:hAnsi="Times New Roman" w:eastAsia="黑体" w:cs="Times New Roman"/>
          <w:bCs/>
          <w:color w:val="000000" w:themeColor="text1"/>
          <w:sz w:val="24"/>
        </w:rPr>
        <w:t>表八</w:t>
      </w:r>
      <w:bookmarkEnd w:id="13"/>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41" w:hRule="atLeast"/>
          <w:jc w:val="center"/>
        </w:trPr>
        <w:tc>
          <w:tcPr>
            <w:tcW w:w="5000" w:type="pct"/>
          </w:tcPr>
          <w:p>
            <w:pPr>
              <w:widowControl/>
              <w:spacing w:line="500" w:lineRule="exact"/>
              <w:rPr>
                <w:rFonts w:ascii="Times New Roman" w:hAnsi="Times New Roman" w:cs="Times New Roman"/>
                <w:color w:val="000000" w:themeColor="text1"/>
                <w:szCs w:val="21"/>
              </w:rPr>
            </w:pPr>
            <w:r>
              <w:rPr>
                <w:rFonts w:ascii="Times New Roman" w:hAnsi="Times New Roman" w:eastAsia="宋体" w:cs="Times New Roman"/>
                <w:color w:val="000000" w:themeColor="text1"/>
                <w:kern w:val="0"/>
                <w:szCs w:val="21"/>
              </w:rPr>
              <w:t>验收监测结论：</w:t>
            </w:r>
          </w:p>
          <w:p>
            <w:pPr>
              <w:widowControl/>
              <w:spacing w:line="500" w:lineRule="exact"/>
              <w:ind w:firstLine="420" w:firstLineChars="200"/>
              <w:rPr>
                <w:rFonts w:ascii="Times New Roman" w:hAnsi="Times New Roman" w:cs="Times New Roman"/>
                <w:color w:val="000000" w:themeColor="text1"/>
                <w:szCs w:val="21"/>
              </w:rPr>
            </w:pPr>
            <w:r>
              <w:rPr>
                <w:rFonts w:ascii="Times New Roman" w:hAnsi="Times New Roman" w:eastAsia="宋体" w:cs="Times New Roman"/>
                <w:color w:val="000000" w:themeColor="text1"/>
                <w:kern w:val="0"/>
                <w:szCs w:val="21"/>
              </w:rPr>
              <w:t>该项目基本做到了环保设施与主体工程同时设计、同时施工、同时投产运行的“三同时”的环保政策，并有健全的环保制度。项目投产试运行后，及时申请竣工环保验收监测。监测期间，相应的环保设施运行正常，监测结果表明，外排污染物浓度达到相应排放标准和环评批复的要求。</w:t>
            </w:r>
          </w:p>
          <w:p>
            <w:pPr>
              <w:widowControl/>
              <w:spacing w:line="500" w:lineRule="exact"/>
              <w:ind w:firstLine="420" w:firstLineChars="200"/>
              <w:rPr>
                <w:rFonts w:ascii="Times New Roman" w:hAnsi="Times New Roman" w:cs="Times New Roman"/>
                <w:szCs w:val="21"/>
              </w:rPr>
            </w:pPr>
            <w:r>
              <w:rPr>
                <w:rFonts w:ascii="Times New Roman" w:hAnsi="Times New Roman" w:eastAsia="宋体" w:cs="Times New Roman"/>
                <w:kern w:val="0"/>
                <w:szCs w:val="21"/>
              </w:rPr>
              <w:t>1、废气</w:t>
            </w:r>
          </w:p>
          <w:p>
            <w:pPr>
              <w:spacing w:line="500" w:lineRule="exact"/>
              <w:ind w:firstLine="420" w:firstLineChars="200"/>
              <w:rPr>
                <w:rFonts w:ascii="Times New Roman" w:hAnsi="Times New Roman" w:cs="Times New Roman"/>
                <w:color w:val="auto"/>
                <w:szCs w:val="21"/>
              </w:rPr>
            </w:pPr>
            <w:r>
              <w:rPr>
                <w:rFonts w:ascii="Times New Roman" w:hAnsi="Times New Roman" w:cs="Times New Roman"/>
                <w:color w:val="auto"/>
                <w:szCs w:val="21"/>
              </w:rPr>
              <w:t>根据监测结果可知，</w:t>
            </w:r>
            <w:r>
              <w:rPr>
                <w:rFonts w:ascii="Times New Roman" w:hAnsi="Times New Roman" w:cs="Times New Roman"/>
                <w:bCs/>
                <w:color w:val="auto"/>
                <w:szCs w:val="21"/>
              </w:rPr>
              <w:t>导热油炉颗粒物监测结果的区间值为</w:t>
            </w:r>
            <w:r>
              <w:rPr>
                <w:rFonts w:ascii="Times New Roman" w:hAnsi="Times New Roman" w:cs="Times New Roman"/>
                <w:color w:val="auto"/>
              </w:rPr>
              <w:t>3.</w:t>
            </w:r>
            <w:bookmarkStart w:id="18" w:name="_GoBack"/>
            <w:bookmarkEnd w:id="18"/>
            <w:r>
              <w:rPr>
                <w:rFonts w:ascii="Times New Roman" w:hAnsi="Times New Roman" w:cs="Times New Roman"/>
                <w:color w:val="auto"/>
              </w:rPr>
              <w:t>0</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~3.9</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，二氧化硫监测结果的区间值为</w:t>
            </w:r>
            <w:r>
              <w:rPr>
                <w:rFonts w:ascii="Times New Roman" w:hAnsi="Times New Roman" w:cs="Times New Roman"/>
                <w:color w:val="auto"/>
              </w:rPr>
              <w:t>12</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~15</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，氮氧化物监测结果的区间值为</w:t>
            </w:r>
            <w:r>
              <w:rPr>
                <w:rFonts w:ascii="Times New Roman" w:hAnsi="Times New Roman" w:cs="Times New Roman"/>
                <w:color w:val="auto"/>
              </w:rPr>
              <w:t>123</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~136</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w:t>
            </w:r>
            <w:r>
              <w:rPr>
                <w:rFonts w:ascii="Times New Roman" w:hAnsi="Times New Roman" w:eastAsia="宋体" w:cs="Times New Roman"/>
                <w:bCs/>
                <w:color w:val="auto"/>
                <w:szCs w:val="21"/>
              </w:rPr>
              <w:t>供暖锅炉</w:t>
            </w:r>
            <w:r>
              <w:rPr>
                <w:rFonts w:ascii="Times New Roman" w:hAnsi="Times New Roman" w:cs="Times New Roman"/>
                <w:bCs/>
                <w:color w:val="auto"/>
                <w:szCs w:val="21"/>
              </w:rPr>
              <w:t>颗粒物监测结果的区间值为</w:t>
            </w:r>
            <w:r>
              <w:rPr>
                <w:rFonts w:ascii="Times New Roman" w:hAnsi="Times New Roman" w:cs="Times New Roman"/>
                <w:color w:val="auto"/>
              </w:rPr>
              <w:t>3.2</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~3.5</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，二氧化硫监测结果的区间值为</w:t>
            </w:r>
            <w:r>
              <w:rPr>
                <w:rFonts w:ascii="Times New Roman" w:hAnsi="Times New Roman" w:cs="Times New Roman"/>
                <w:color w:val="auto"/>
              </w:rPr>
              <w:t>6</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~8</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，氮氧化物监测结果的区间值为</w:t>
            </w:r>
            <w:r>
              <w:rPr>
                <w:rFonts w:ascii="Times New Roman" w:hAnsi="Times New Roman" w:cs="Times New Roman"/>
                <w:color w:val="auto"/>
              </w:rPr>
              <w:t>91</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~98</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w:t>
            </w:r>
            <w:r>
              <w:rPr>
                <w:rFonts w:ascii="Times New Roman" w:hAnsi="Times New Roman" w:eastAsia="宋体" w:cs="Times New Roman"/>
                <w:bCs/>
                <w:color w:val="auto"/>
                <w:szCs w:val="21"/>
              </w:rPr>
              <w:t>干燥筒锅炉</w:t>
            </w:r>
            <w:r>
              <w:rPr>
                <w:rFonts w:ascii="Times New Roman" w:hAnsi="Times New Roman" w:cs="Times New Roman"/>
                <w:bCs/>
                <w:color w:val="auto"/>
                <w:szCs w:val="21"/>
              </w:rPr>
              <w:t>颗粒物监测结果的区间值为</w:t>
            </w:r>
            <w:r>
              <w:rPr>
                <w:rFonts w:ascii="Times New Roman" w:hAnsi="Times New Roman" w:cs="Times New Roman"/>
                <w:color w:val="auto"/>
              </w:rPr>
              <w:t>2.9</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~3.2</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，二氧化硫监测结果的区间值为</w:t>
            </w:r>
            <w:r>
              <w:rPr>
                <w:rFonts w:ascii="Times New Roman" w:hAnsi="Times New Roman" w:cs="Times New Roman"/>
                <w:color w:val="auto"/>
              </w:rPr>
              <w:t>10</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~13</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，氮氧化物监测结果的区间值为</w:t>
            </w:r>
            <w:r>
              <w:rPr>
                <w:rFonts w:ascii="Times New Roman" w:hAnsi="Times New Roman" w:cs="Times New Roman"/>
                <w:color w:val="auto"/>
              </w:rPr>
              <w:t>108</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~117</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w:t>
            </w:r>
            <w:r>
              <w:rPr>
                <w:rFonts w:hint="eastAsia" w:ascii="Times New Roman" w:hAnsi="Times New Roman" w:cs="Times New Roman"/>
                <w:bCs/>
                <w:color w:val="auto"/>
                <w:szCs w:val="21"/>
                <w:lang w:eastAsia="zh-CN"/>
              </w:rPr>
              <w:t>生产废气排气筒颗粒物监测结果</w:t>
            </w:r>
            <w:r>
              <w:rPr>
                <w:rFonts w:ascii="Times New Roman" w:hAnsi="Times New Roman" w:cs="Times New Roman"/>
                <w:bCs/>
                <w:color w:val="auto"/>
                <w:szCs w:val="21"/>
              </w:rPr>
              <w:t>的区间值为</w:t>
            </w:r>
            <w:r>
              <w:rPr>
                <w:rFonts w:hint="eastAsia" w:ascii="Times New Roman" w:hAnsi="Times New Roman" w:cs="Times New Roman"/>
                <w:color w:val="auto"/>
                <w:lang w:val="en-US" w:eastAsia="zh-CN"/>
              </w:rPr>
              <w:t>3.8</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w:t>
            </w:r>
            <w:r>
              <w:rPr>
                <w:rFonts w:hint="eastAsia" w:ascii="Times New Roman" w:hAnsi="Times New Roman" w:cs="Times New Roman"/>
                <w:color w:val="auto"/>
                <w:lang w:val="en-US" w:eastAsia="zh-CN"/>
              </w:rPr>
              <w:t>4.2</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w:t>
            </w:r>
            <w:r>
              <w:rPr>
                <w:rFonts w:hint="eastAsia" w:ascii="Times New Roman" w:hAnsi="Times New Roman" w:eastAsia="宋体" w:cs="Times New Roman"/>
                <w:color w:val="auto"/>
                <w:kern w:val="2"/>
                <w:sz w:val="21"/>
                <w:szCs w:val="21"/>
                <w:lang w:val="en-US" w:eastAsia="zh-CN" w:bidi="ar"/>
              </w:rPr>
              <w:t>沥青烟以及</w:t>
            </w:r>
            <w:r>
              <w:rPr>
                <w:rFonts w:hint="eastAsia" w:ascii="Times New Roman" w:hAnsi="宋体" w:eastAsia="宋体" w:cs="Times New Roman"/>
                <w:color w:val="auto"/>
                <w:kern w:val="2"/>
                <w:sz w:val="21"/>
                <w:szCs w:val="21"/>
                <w:lang w:val="en-US" w:eastAsia="zh-CN" w:bidi="ar"/>
              </w:rPr>
              <w:t>苯并（</w:t>
            </w:r>
            <w:r>
              <w:rPr>
                <w:rFonts w:hint="default" w:ascii="Times New Roman" w:hAnsi="宋体" w:eastAsia="宋体" w:cs="Times New Roman"/>
                <w:color w:val="auto"/>
                <w:kern w:val="2"/>
                <w:sz w:val="21"/>
                <w:szCs w:val="21"/>
                <w:lang w:val="en-US" w:eastAsia="zh-CN" w:bidi="ar"/>
              </w:rPr>
              <w:t>a</w:t>
            </w:r>
            <w:r>
              <w:rPr>
                <w:rFonts w:hint="eastAsia" w:ascii="Times New Roman" w:hAnsi="宋体" w:eastAsia="宋体" w:cs="Times New Roman"/>
                <w:color w:val="auto"/>
                <w:kern w:val="2"/>
                <w:sz w:val="21"/>
                <w:szCs w:val="21"/>
                <w:lang w:val="en-US" w:eastAsia="zh-CN" w:bidi="ar"/>
              </w:rPr>
              <w:t>）芘均未检出；</w:t>
            </w:r>
            <w:r>
              <w:rPr>
                <w:rFonts w:ascii="Times New Roman" w:hAnsi="Times New Roman" w:eastAsia="宋体" w:cs="Times New Roman"/>
                <w:bCs/>
                <w:color w:val="auto"/>
                <w:szCs w:val="21"/>
              </w:rPr>
              <w:t>上料混料排气筒</w:t>
            </w:r>
            <w:r>
              <w:rPr>
                <w:rFonts w:ascii="Times New Roman" w:hAnsi="Times New Roman" w:cs="Times New Roman"/>
                <w:bCs/>
                <w:color w:val="auto"/>
                <w:szCs w:val="21"/>
              </w:rPr>
              <w:t>颗粒物监测结果的区间值为</w:t>
            </w:r>
            <w:r>
              <w:rPr>
                <w:rFonts w:ascii="Times New Roman" w:hAnsi="Times New Roman" w:cs="Times New Roman"/>
                <w:color w:val="auto"/>
              </w:rPr>
              <w:t>3.0</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color w:val="auto"/>
              </w:rPr>
              <w:t>~3.4</w:t>
            </w:r>
            <w:r>
              <w:rPr>
                <w:rFonts w:ascii="Times New Roman" w:hAnsi="Times New Roman" w:cs="Times New Roman"/>
                <w:bCs/>
                <w:color w:val="auto"/>
                <w:szCs w:val="21"/>
              </w:rPr>
              <w:t>mg/m</w:t>
            </w:r>
            <w:r>
              <w:rPr>
                <w:rFonts w:ascii="Times New Roman" w:hAnsi="Times New Roman" w:cs="Times New Roman"/>
                <w:bCs/>
                <w:color w:val="auto"/>
                <w:szCs w:val="21"/>
                <w:vertAlign w:val="superscript"/>
              </w:rPr>
              <w:t>3</w:t>
            </w:r>
            <w:r>
              <w:rPr>
                <w:rFonts w:ascii="Times New Roman" w:hAnsi="Times New Roman" w:cs="Times New Roman"/>
                <w:bCs/>
                <w:color w:val="auto"/>
                <w:szCs w:val="21"/>
              </w:rPr>
              <w:t>；食堂油烟废气监测结果平</w:t>
            </w:r>
            <w:r>
              <w:rPr>
                <w:rFonts w:ascii="Times New Roman" w:hAnsi="Times New Roman" w:cs="Times New Roman"/>
                <w:color w:val="auto"/>
              </w:rPr>
              <w:t>均浓度为区间值为1.21~1.16mg/m³；</w:t>
            </w:r>
          </w:p>
          <w:p>
            <w:pPr>
              <w:spacing w:line="500" w:lineRule="exact"/>
              <w:ind w:firstLine="420" w:firstLineChars="200"/>
              <w:rPr>
                <w:rFonts w:ascii="Times New Roman" w:hAnsi="Times New Roman" w:cs="Times New Roman"/>
                <w:color w:val="000000" w:themeColor="text1"/>
                <w:szCs w:val="21"/>
              </w:rPr>
            </w:pPr>
            <w:r>
              <w:rPr>
                <w:rFonts w:ascii="Times New Roman" w:hAnsi="Times New Roman" w:cs="Times New Roman"/>
                <w:szCs w:val="21"/>
              </w:rPr>
              <w:t>锅炉烟气中的颗粒物、SO</w:t>
            </w:r>
            <w:r>
              <w:rPr>
                <w:rFonts w:ascii="Times New Roman" w:hAnsi="Times New Roman" w:cs="Times New Roman"/>
                <w:szCs w:val="21"/>
                <w:vertAlign w:val="subscript"/>
              </w:rPr>
              <w:t>2</w:t>
            </w:r>
            <w:r>
              <w:rPr>
                <w:rFonts w:ascii="Times New Roman" w:hAnsi="Times New Roman" w:cs="Times New Roman"/>
                <w:szCs w:val="21"/>
              </w:rPr>
              <w:t>及NOx的排放浓度均满足《锅炉大气污染物排放标准》（GB13271-2014）表2新建燃气锅炉大气污染物排放浓度限值，加热炉满足《工业炉窑大气污染物排放</w:t>
            </w:r>
            <w:r>
              <w:rPr>
                <w:rFonts w:ascii="Times New Roman" w:hAnsi="Times New Roman" w:cs="Times New Roman"/>
                <w:color w:val="000000" w:themeColor="text1"/>
                <w:szCs w:val="21"/>
              </w:rPr>
              <w:t>标准》（GB9078-1996）二级标准。</w:t>
            </w:r>
            <w:r>
              <w:rPr>
                <w:rFonts w:hint="eastAsia" w:ascii="Times New Roman" w:hAnsi="Times New Roman" w:cs="Times New Roman"/>
                <w:color w:val="000000" w:themeColor="text1"/>
                <w:szCs w:val="21"/>
                <w:lang w:eastAsia="zh-CN"/>
              </w:rPr>
              <w:t>生产废气</w:t>
            </w:r>
            <w:r>
              <w:rPr>
                <w:rFonts w:ascii="Times New Roman" w:hAnsi="Times New Roman" w:cs="Times New Roman"/>
                <w:color w:val="000000" w:themeColor="text1"/>
              </w:rPr>
              <w:t>满足《大气污染物综合排放标准》（GB16297-1996）二级排放标准，</w:t>
            </w:r>
            <w:r>
              <w:rPr>
                <w:rFonts w:ascii="Times New Roman" w:hAnsi="Times New Roman" w:eastAsia="宋体" w:cs="Times New Roman"/>
                <w:bCs/>
                <w:color w:val="000000" w:themeColor="text1"/>
                <w:szCs w:val="21"/>
              </w:rPr>
              <w:t>食堂油烟满足</w:t>
            </w:r>
            <w:r>
              <w:rPr>
                <w:rFonts w:ascii="Times New Roman" w:hAnsi="Times New Roman" w:cs="Times New Roman"/>
                <w:color w:val="000000" w:themeColor="text1"/>
                <w:szCs w:val="21"/>
              </w:rPr>
              <w:t>《饮食业油烟排放标准》（试行）（GB18483-2001）（小型）)油烟排放浓度≤2.0mg/m</w:t>
            </w:r>
            <w:r>
              <w:rPr>
                <w:rFonts w:ascii="Times New Roman" w:hAnsi="Times New Roman" w:cs="Times New Roman"/>
                <w:color w:val="000000" w:themeColor="text1"/>
                <w:szCs w:val="21"/>
                <w:vertAlign w:val="superscript"/>
              </w:rPr>
              <w:t>3</w:t>
            </w:r>
            <w:r>
              <w:rPr>
                <w:rFonts w:ascii="Times New Roman" w:hAnsi="Times New Roman" w:cs="Times New Roman"/>
                <w:color w:val="000000" w:themeColor="text1"/>
                <w:szCs w:val="21"/>
              </w:rPr>
              <w:t>。</w:t>
            </w:r>
          </w:p>
          <w:p>
            <w:pPr>
              <w:pStyle w:val="17"/>
              <w:widowControl/>
              <w:numPr>
                <w:ilvl w:val="0"/>
                <w:numId w:val="2"/>
              </w:numPr>
              <w:spacing w:before="0" w:beforeAutospacing="0" w:after="0" w:afterAutospacing="0" w:line="500" w:lineRule="exact"/>
              <w:ind w:firstLine="482"/>
              <w:rPr>
                <w:rFonts w:ascii="Times New Roman" w:hAnsi="Times New Roman"/>
                <w:color w:val="000000" w:themeColor="text1"/>
                <w:szCs w:val="21"/>
              </w:rPr>
            </w:pPr>
            <w:r>
              <w:rPr>
                <w:rFonts w:ascii="Times New Roman" w:hAnsi="Times New Roman" w:eastAsia="宋体"/>
                <w:color w:val="000000" w:themeColor="text1"/>
                <w:kern w:val="2"/>
                <w:sz w:val="21"/>
                <w:szCs w:val="21"/>
              </w:rPr>
              <w:t>噪声</w:t>
            </w:r>
          </w:p>
          <w:p>
            <w:pPr>
              <w:widowControl/>
              <w:adjustRightInd w:val="0"/>
              <w:snapToGrid w:val="0"/>
              <w:spacing w:line="500" w:lineRule="exact"/>
              <w:ind w:firstLine="420" w:firstLineChars="200"/>
              <w:jc w:val="left"/>
              <w:rPr>
                <w:rFonts w:ascii="Times New Roman" w:hAnsi="Times New Roman" w:cs="Times New Roman"/>
                <w:color w:val="000000" w:themeColor="text1"/>
                <w:szCs w:val="21"/>
              </w:rPr>
            </w:pPr>
            <w:r>
              <w:rPr>
                <w:rFonts w:ascii="Times New Roman" w:hAnsi="Times New Roman" w:eastAsia="宋体" w:cs="Times New Roman"/>
                <w:color w:val="000000" w:themeColor="text1"/>
                <w:kern w:val="0"/>
                <w:szCs w:val="21"/>
              </w:rPr>
              <w:t>本项目经减振等减震降噪措施，自然衰减，根据监测结果为厂界环境噪声监测值昼间最大值为57.3dB（A），夜间最大值45.4dB（A），满足《工业企业厂界环境噪声排放标准》（GB12348-2008）中2类标准要求。</w:t>
            </w:r>
          </w:p>
          <w:p>
            <w:pPr>
              <w:pStyle w:val="17"/>
              <w:widowControl/>
              <w:numPr>
                <w:ilvl w:val="0"/>
                <w:numId w:val="2"/>
              </w:numPr>
              <w:spacing w:before="0" w:beforeAutospacing="0" w:after="0" w:afterAutospacing="0" w:line="500" w:lineRule="exact"/>
              <w:ind w:firstLine="482"/>
              <w:rPr>
                <w:rFonts w:ascii="Times New Roman" w:hAnsi="Times New Roman"/>
                <w:color w:val="000000" w:themeColor="text1"/>
              </w:rPr>
            </w:pPr>
            <w:r>
              <w:rPr>
                <w:rFonts w:hint="eastAsia" w:ascii="Times New Roman" w:hAnsi="Times New Roman" w:eastAsia="宋体"/>
                <w:color w:val="000000" w:themeColor="text1"/>
                <w:kern w:val="2"/>
                <w:sz w:val="21"/>
                <w:szCs w:val="22"/>
              </w:rPr>
              <w:t>废</w:t>
            </w:r>
            <w:r>
              <w:rPr>
                <w:rFonts w:ascii="Times New Roman" w:hAnsi="Times New Roman" w:eastAsia="宋体"/>
                <w:color w:val="000000" w:themeColor="text1"/>
                <w:kern w:val="2"/>
                <w:sz w:val="21"/>
                <w:szCs w:val="22"/>
              </w:rPr>
              <w:t>水</w:t>
            </w:r>
          </w:p>
          <w:p>
            <w:pPr>
              <w:autoSpaceDE w:val="0"/>
              <w:autoSpaceDN w:val="0"/>
              <w:adjustRightInd w:val="0"/>
              <w:snapToGrid w:val="0"/>
              <w:spacing w:line="500" w:lineRule="exact"/>
              <w:ind w:firstLine="420" w:firstLineChars="200"/>
              <w:rPr>
                <w:rFonts w:ascii="Times New Roman" w:hAnsi="Times New Roman" w:eastAsia="宋体" w:cs="Times New Roman"/>
                <w:color w:val="000000" w:themeColor="text1"/>
                <w:szCs w:val="22"/>
              </w:rPr>
            </w:pPr>
            <w:r>
              <w:rPr>
                <w:rFonts w:ascii="Times New Roman" w:hAnsi="Times New Roman" w:eastAsia="宋体" w:cs="Times New Roman"/>
                <w:color w:val="000000" w:themeColor="text1"/>
                <w:szCs w:val="22"/>
              </w:rPr>
              <w:t>根据废水监测数据，本项目废水满足可满足《</w:t>
            </w:r>
            <w:r>
              <w:fldChar w:fldCharType="begin"/>
            </w:r>
            <w:r>
              <w:instrText xml:space="preserve"> HYPERLINK "http://www.xmems.org.cn/cgi-bin/dbbz/show.cgi?id=33" </w:instrText>
            </w:r>
            <w:r>
              <w:fldChar w:fldCharType="separate"/>
            </w:r>
            <w:r>
              <w:rPr>
                <w:rFonts w:ascii="Times New Roman" w:hAnsi="Times New Roman" w:eastAsia="宋体" w:cs="Times New Roman"/>
                <w:color w:val="000000" w:themeColor="text1"/>
                <w:szCs w:val="22"/>
              </w:rPr>
              <w:t>污水综合排放标准</w:t>
            </w:r>
            <w:r>
              <w:rPr>
                <w:rFonts w:ascii="Times New Roman" w:hAnsi="Times New Roman" w:eastAsia="宋体" w:cs="Times New Roman"/>
                <w:color w:val="000000" w:themeColor="text1"/>
                <w:szCs w:val="22"/>
              </w:rPr>
              <w:fldChar w:fldCharType="end"/>
            </w:r>
            <w:r>
              <w:rPr>
                <w:rFonts w:ascii="Times New Roman" w:hAnsi="Times New Roman" w:eastAsia="宋体" w:cs="Times New Roman"/>
                <w:color w:val="000000" w:themeColor="text1"/>
                <w:szCs w:val="22"/>
              </w:rPr>
              <w:t>》（GB8978-1996）三级标准及东城污水处理厂进水指标接排放标准。</w:t>
            </w:r>
          </w:p>
          <w:p>
            <w:pPr>
              <w:pStyle w:val="17"/>
              <w:widowControl/>
              <w:spacing w:before="0" w:beforeAutospacing="0" w:after="0" w:afterAutospacing="0" w:line="500" w:lineRule="exact"/>
              <w:ind w:left="482"/>
              <w:rPr>
                <w:rFonts w:ascii="Times New Roman" w:hAnsi="Times New Roman"/>
                <w:color w:val="000000" w:themeColor="text1"/>
                <w:szCs w:val="21"/>
              </w:rPr>
            </w:pPr>
            <w:r>
              <w:rPr>
                <w:rFonts w:ascii="Times New Roman" w:hAnsi="Times New Roman" w:eastAsia="宋体"/>
                <w:color w:val="000000" w:themeColor="text1"/>
                <w:sz w:val="21"/>
                <w:szCs w:val="21"/>
              </w:rPr>
              <w:t>4、固体废物</w:t>
            </w:r>
          </w:p>
          <w:p>
            <w:pPr>
              <w:pStyle w:val="17"/>
              <w:spacing w:before="0" w:beforeAutospacing="0" w:after="0" w:afterAutospacing="0" w:line="500" w:lineRule="exact"/>
              <w:ind w:firstLine="420" w:firstLineChars="200"/>
              <w:jc w:val="both"/>
              <w:rPr>
                <w:rFonts w:ascii="Times New Roman" w:hAnsi="Times New Roman" w:eastAsia="宋体"/>
                <w:kern w:val="2"/>
                <w:sz w:val="21"/>
                <w:szCs w:val="22"/>
              </w:rPr>
            </w:pPr>
            <w:r>
              <w:rPr>
                <w:rFonts w:ascii="Times New Roman" w:hAnsi="Times New Roman" w:eastAsia="宋体"/>
                <w:color w:val="000000" w:themeColor="text1"/>
                <w:kern w:val="2"/>
                <w:sz w:val="21"/>
                <w:szCs w:val="22"/>
              </w:rPr>
              <w:t>本项目产生的生活垃圾</w:t>
            </w:r>
            <w:r>
              <w:rPr>
                <w:rFonts w:ascii="Times New Roman" w:hAnsi="Times New Roman" w:eastAsia="宋体"/>
                <w:kern w:val="2"/>
                <w:sz w:val="21"/>
                <w:szCs w:val="22"/>
              </w:rPr>
              <w:t>设置简易垃圾桶进行收集，生活垃圾经收集后定期拉运至城市垃圾填埋场处理。废石料、除尘器收集的固废经集中收集后，外售综合利用。废活性炭、废导热油经收集后暂存于危废暂存间，定期交由有相应资质的危险废物处置单位处置，并做好台账。本项目固体废物处理率100%，危险废物做到安全处置，不会对环境造成二次污染。</w:t>
            </w:r>
          </w:p>
          <w:p>
            <w:pPr>
              <w:pStyle w:val="17"/>
              <w:widowControl/>
              <w:spacing w:before="0" w:beforeAutospacing="0" w:after="0" w:afterAutospacing="0" w:line="500" w:lineRule="exact"/>
              <w:ind w:firstLine="420" w:firstLineChars="200"/>
              <w:rPr>
                <w:rFonts w:ascii="Times New Roman" w:hAnsi="Times New Roman"/>
                <w:color w:val="000000" w:themeColor="text1"/>
                <w:szCs w:val="21"/>
              </w:rPr>
            </w:pPr>
            <w:r>
              <w:rPr>
                <w:rFonts w:ascii="Times New Roman" w:hAnsi="Times New Roman" w:eastAsia="宋体"/>
                <w:color w:val="000000" w:themeColor="text1"/>
                <w:kern w:val="2"/>
                <w:sz w:val="21"/>
                <w:szCs w:val="21"/>
              </w:rPr>
              <w:t>5、验收结论</w:t>
            </w:r>
          </w:p>
          <w:p>
            <w:pPr>
              <w:spacing w:line="500" w:lineRule="exact"/>
              <w:ind w:firstLine="420" w:firstLineChars="200"/>
              <w:rPr>
                <w:rFonts w:ascii="Times New Roman" w:hAnsi="Times New Roman" w:cs="Times New Roman"/>
                <w:color w:val="000000" w:themeColor="text1"/>
                <w:szCs w:val="21"/>
              </w:rPr>
            </w:pPr>
            <w:r>
              <w:rPr>
                <w:rFonts w:ascii="Times New Roman" w:hAnsi="Times New Roman" w:eastAsia="宋体" w:cs="Times New Roman"/>
                <w:color w:val="000000" w:themeColor="text1"/>
                <w:kern w:val="0"/>
                <w:szCs w:val="21"/>
              </w:rPr>
              <w:t>综上所述，根据现场调查及监测结果，按照《建设项目竣工环境保护验收暂行办法》中第八条所规定的情形，逐一对照项目环境保护设施情况，不存在其所规定的情形，该项目按照环评及其批复的要求落实了环境空气、噪声、固体废物、</w:t>
            </w:r>
            <w:r>
              <w:rPr>
                <w:rFonts w:hint="eastAsia" w:ascii="Times New Roman" w:hAnsi="Times New Roman" w:eastAsia="宋体" w:cs="Times New Roman"/>
                <w:color w:val="000000" w:themeColor="text1"/>
                <w:kern w:val="0"/>
                <w:szCs w:val="21"/>
              </w:rPr>
              <w:t>废水</w:t>
            </w:r>
            <w:r>
              <w:rPr>
                <w:rFonts w:ascii="Times New Roman" w:hAnsi="Times New Roman" w:eastAsia="宋体" w:cs="Times New Roman"/>
                <w:color w:val="000000" w:themeColor="text1"/>
                <w:kern w:val="0"/>
                <w:szCs w:val="21"/>
              </w:rPr>
              <w:t>等污染防治措施内容，环境管理较规范，各项设施运行正常，“</w:t>
            </w:r>
            <w:r>
              <w:rPr>
                <w:rFonts w:ascii="Times New Roman" w:hAnsi="Times New Roman" w:eastAsia="宋体" w:cs="Times New Roman"/>
                <w:color w:val="000000" w:themeColor="text1"/>
                <w:szCs w:val="21"/>
              </w:rPr>
              <w:t>黑龙江路原环保型沥青（彩色）混凝土拌合站建设项目</w:t>
            </w:r>
            <w:r>
              <w:rPr>
                <w:rFonts w:ascii="Times New Roman" w:hAnsi="Times New Roman" w:eastAsia="宋体" w:cs="Times New Roman"/>
                <w:color w:val="000000" w:themeColor="text1"/>
                <w:kern w:val="0"/>
                <w:szCs w:val="21"/>
              </w:rPr>
              <w:t>”落实了环评报告表及环评批复所提出的各项污染防治措施，无重大变动，运行期负荷满足验收工况要求，废水、废气、噪声达标排放，固体废物去向明确。项目竣工环境保护设施验收合格。</w:t>
            </w:r>
          </w:p>
          <w:p>
            <w:pPr>
              <w:pStyle w:val="17"/>
              <w:widowControl/>
              <w:spacing w:before="0" w:beforeAutospacing="0" w:after="0" w:afterAutospacing="0" w:line="360" w:lineRule="auto"/>
              <w:ind w:firstLine="440"/>
              <w:rPr>
                <w:rFonts w:ascii="Times New Roman" w:hAnsi="Times New Roman"/>
                <w:color w:val="FF0000"/>
                <w:szCs w:val="21"/>
              </w:rPr>
            </w:pPr>
          </w:p>
          <w:p>
            <w:pPr>
              <w:spacing w:beforeLines="20" w:line="360" w:lineRule="auto"/>
              <w:rPr>
                <w:rFonts w:ascii="Times New Roman" w:hAnsi="Times New Roman" w:eastAsia="仿宋_GB2312" w:cs="Times New Roman"/>
                <w:color w:val="FF0000"/>
                <w:szCs w:val="21"/>
              </w:rPr>
            </w:pPr>
          </w:p>
          <w:p>
            <w:pPr>
              <w:spacing w:beforeLines="20" w:line="360" w:lineRule="auto"/>
              <w:rPr>
                <w:rFonts w:ascii="Times New Roman" w:hAnsi="Times New Roman" w:eastAsia="仿宋_GB2312" w:cs="Times New Roman"/>
                <w:color w:val="FF0000"/>
                <w:szCs w:val="21"/>
              </w:rPr>
            </w:pPr>
          </w:p>
          <w:p>
            <w:pPr>
              <w:spacing w:beforeLines="20" w:line="360" w:lineRule="auto"/>
              <w:rPr>
                <w:rFonts w:ascii="Times New Roman" w:hAnsi="Times New Roman" w:eastAsia="仿宋_GB2312" w:cs="Times New Roman"/>
                <w:color w:val="FF0000"/>
                <w:szCs w:val="21"/>
              </w:rPr>
            </w:pPr>
          </w:p>
          <w:p>
            <w:pPr>
              <w:spacing w:beforeLines="20" w:line="360" w:lineRule="auto"/>
              <w:rPr>
                <w:rFonts w:ascii="Times New Roman" w:hAnsi="Times New Roman" w:eastAsia="仿宋_GB2312" w:cs="Times New Roman"/>
                <w:color w:val="FF0000"/>
                <w:szCs w:val="21"/>
              </w:rPr>
            </w:pPr>
          </w:p>
          <w:p>
            <w:pPr>
              <w:spacing w:beforeLines="20" w:line="360" w:lineRule="auto"/>
              <w:rPr>
                <w:rFonts w:ascii="Times New Roman" w:hAnsi="Times New Roman" w:eastAsia="仿宋_GB2312" w:cs="Times New Roman"/>
                <w:color w:val="FF0000"/>
                <w:szCs w:val="21"/>
              </w:rPr>
            </w:pPr>
          </w:p>
          <w:p>
            <w:pPr>
              <w:spacing w:beforeLines="20" w:line="360" w:lineRule="auto"/>
              <w:rPr>
                <w:rFonts w:ascii="Times New Roman" w:hAnsi="Times New Roman" w:eastAsia="仿宋_GB2312" w:cs="Times New Roman"/>
                <w:color w:val="FF0000"/>
                <w:szCs w:val="21"/>
              </w:rPr>
            </w:pPr>
          </w:p>
        </w:tc>
      </w:tr>
    </w:tbl>
    <w:p>
      <w:pPr>
        <w:pStyle w:val="25"/>
        <w:rPr>
          <w:rFonts w:hAnsi="Times New Roman" w:cs="Times New Roman"/>
          <w:color w:val="FF0000"/>
        </w:rPr>
        <w:sectPr>
          <w:headerReference r:id="rId4" w:type="default"/>
          <w:footerReference r:id="rId5" w:type="default"/>
          <w:pgSz w:w="11906" w:h="16838"/>
          <w:pgMar w:top="1417" w:right="1417" w:bottom="1417" w:left="1417" w:header="1077" w:footer="992" w:gutter="0"/>
          <w:pgBorders>
            <w:top w:val="none" w:sz="0" w:space="0"/>
            <w:left w:val="none" w:sz="0" w:space="0"/>
            <w:bottom w:val="none" w:sz="0" w:space="0"/>
            <w:right w:val="none" w:sz="0" w:space="0"/>
          </w:pgBorders>
          <w:cols w:space="425" w:num="1"/>
          <w:docGrid w:type="lines" w:linePitch="312" w:charSpace="0"/>
        </w:sectPr>
      </w:pPr>
    </w:p>
    <w:p>
      <w:pPr>
        <w:outlineLvl w:val="0"/>
        <w:rPr>
          <w:rFonts w:ascii="Times New Roman" w:hAnsi="Times New Roman" w:eastAsia="黑体" w:cs="Times New Roman"/>
          <w:bCs/>
          <w:color w:val="000000" w:themeColor="text1"/>
          <w:sz w:val="24"/>
        </w:rPr>
      </w:pPr>
      <w:bookmarkStart w:id="14" w:name="_Toc20046"/>
      <w:r>
        <w:rPr>
          <w:rFonts w:ascii="Times New Roman" w:hAnsi="Times New Roman" w:eastAsia="黑体" w:cs="Times New Roman"/>
          <w:bCs/>
          <w:color w:val="000000" w:themeColor="text1"/>
          <w:sz w:val="24"/>
        </w:rPr>
        <w:t>附图：现场照片</w:t>
      </w:r>
      <w:bookmarkEnd w:id="14"/>
    </w:p>
    <w:p>
      <w:pPr>
        <w:jc w:val="center"/>
        <w:rPr>
          <w:rFonts w:ascii="Times New Roman" w:hAnsi="Times New Roman" w:cs="Times New Roman"/>
          <w:color w:val="FF0000"/>
        </w:rPr>
      </w:pPr>
      <w:r>
        <w:rPr>
          <w:rFonts w:ascii="Times New Roman" w:hAnsi="Times New Roman" w:cs="Times New Roman"/>
          <w:color w:val="FF0000"/>
        </w:rPr>
        <w:pict>
          <v:shape id="_x0000_s1032" o:spid="_x0000_s1032" o:spt="202" type="#_x0000_t202" style="position:absolute;left:0pt;margin-left:327.35pt;margin-top:236.75pt;height:22.3pt;width:91.8pt;z-index:251664384;mso-width-relative:page;mso-height-relative:page;" coordsize="21600,21600" o:gfxdata="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BWpGR/YAAAACwEAAA8AAAAAAAAAAQAgAAAAIgAAAGRycy9kb3ducmV2LnhtbFBL&#10;AQIUABQAAAAIAIdO4kBwH6VqaAIAAMUEAAAOAAAAAAAAAAEAIAAAACcBAABkcnMvZTJvRG9jLnht&#10;bFBLBQYAAAAABgAGAFkBAAABBgAAAAA=&#10;">
            <v:path/>
            <v:fill focussize="0,0"/>
            <v:stroke weight="0.5pt" joinstyle="round"/>
            <v:imagedata o:title=""/>
            <o:lock v:ext="edit"/>
            <v:textbox>
              <w:txbxContent>
                <w:p>
                  <w:pPr>
                    <w:rPr>
                      <w:color w:val="FF0000"/>
                    </w:rPr>
                  </w:pPr>
                  <w:r>
                    <w:rPr>
                      <w:rFonts w:hint="eastAsia"/>
                      <w:color w:val="FF0000"/>
                    </w:rPr>
                    <w:t>上料防治设施</w:t>
                  </w:r>
                </w:p>
              </w:txbxContent>
            </v:textbox>
          </v:shape>
        </w:pict>
      </w:r>
      <w:r>
        <w:rPr>
          <w:rFonts w:ascii="Times New Roman" w:hAnsi="Times New Roman" w:cs="Times New Roman"/>
          <w:color w:val="FF0000"/>
        </w:rPr>
        <w:pict>
          <v:shape id="_x0000_s1031" o:spid="_x0000_s1031" o:spt="202" type="#_x0000_t202" style="position:absolute;left:0pt;margin-left:353.9pt;margin-top:584.15pt;height:21.65pt;width:67.7pt;z-index:251663360;mso-width-relative:page;mso-height-relative:page;" coordsize="21600,21600" o:gfxdata="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D5Ep/TWAAAACwEAAA8AAAAAAAAAAQAgAAAAIgAAAGRycy9kb3ducmV2LnhtbFBLAQIUABQA&#10;AAAIAIdO4kA/RmN/ZAIAAMQEAAAOAAAAAAAAAAEAIAAAACUBAABkcnMvZTJvRG9jLnhtbFBLBQYA&#10;AAAABgAGAFkBAAD7BQAAAAA=&#10;">
            <v:path/>
            <v:fill focussize="0,0"/>
            <v:stroke weight="0.5pt" joinstyle="round"/>
            <v:imagedata o:title=""/>
            <o:lock v:ext="edit"/>
            <v:textbox>
              <w:txbxContent>
                <w:p>
                  <w:r>
                    <w:rPr>
                      <w:rFonts w:hint="eastAsia"/>
                      <w:color w:val="FF0000"/>
                    </w:rPr>
                    <w:t>沥青搅拌站</w:t>
                  </w:r>
                </w:p>
              </w:txbxContent>
            </v:textbox>
          </v:shape>
        </w:pict>
      </w:r>
      <w:r>
        <w:rPr>
          <w:rFonts w:ascii="Times New Roman" w:hAnsi="Times New Roman" w:cs="Times New Roman"/>
          <w:color w:val="FF0000"/>
        </w:rPr>
        <w:drawing>
          <wp:inline distT="0" distB="0" distL="114300" distR="114300">
            <wp:extent cx="2449195" cy="3267075"/>
            <wp:effectExtent l="0" t="0" r="8255" b="9525"/>
            <wp:docPr id="2" name="图片 2" descr="7f8ceed8567b352ab16b255f2f486f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7f8ceed8567b352ab16b255f2f486fca"/>
                    <pic:cNvPicPr>
                      <a:picLocks noChangeAspect="1"/>
                    </pic:cNvPicPr>
                  </pic:nvPicPr>
                  <pic:blipFill>
                    <a:blip r:embed="rId12" cstate="print"/>
                    <a:stretch>
                      <a:fillRect/>
                    </a:stretch>
                  </pic:blipFill>
                  <pic:spPr>
                    <a:xfrm>
                      <a:off x="0" y="0"/>
                      <a:ext cx="2449195" cy="3267075"/>
                    </a:xfrm>
                    <a:prstGeom prst="rect">
                      <a:avLst/>
                    </a:prstGeom>
                  </pic:spPr>
                </pic:pic>
              </a:graphicData>
            </a:graphic>
          </wp:inline>
        </w:drawing>
      </w:r>
      <w:r>
        <w:rPr>
          <w:rFonts w:ascii="Times New Roman" w:hAnsi="Times New Roman" w:cs="Times New Roman"/>
          <w:color w:val="FF0000"/>
        </w:rPr>
        <w:drawing>
          <wp:inline distT="0" distB="0" distL="114300" distR="114300">
            <wp:extent cx="2450465" cy="3265805"/>
            <wp:effectExtent l="0" t="0" r="6985" b="10795"/>
            <wp:docPr id="4" name="图片 4" descr="74f1d0ed91edc21b18ae2c6c7e9343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74f1d0ed91edc21b18ae2c6c7e9343ee"/>
                    <pic:cNvPicPr>
                      <a:picLocks noChangeAspect="1"/>
                    </pic:cNvPicPr>
                  </pic:nvPicPr>
                  <pic:blipFill>
                    <a:blip r:embed="rId13" cstate="print"/>
                    <a:stretch>
                      <a:fillRect/>
                    </a:stretch>
                  </pic:blipFill>
                  <pic:spPr>
                    <a:xfrm>
                      <a:off x="0" y="0"/>
                      <a:ext cx="2450465" cy="3265805"/>
                    </a:xfrm>
                    <a:prstGeom prst="rect">
                      <a:avLst/>
                    </a:prstGeom>
                  </pic:spPr>
                </pic:pic>
              </a:graphicData>
            </a:graphic>
          </wp:inline>
        </w:drawing>
      </w:r>
      <w:r>
        <w:rPr>
          <w:rFonts w:ascii="Times New Roman" w:hAnsi="Times New Roman" w:cs="Times New Roman"/>
          <w:color w:val="FF0000"/>
        </w:rPr>
        <w:drawing>
          <wp:inline distT="0" distB="0" distL="114300" distR="114300">
            <wp:extent cx="4991735" cy="4302125"/>
            <wp:effectExtent l="0" t="0" r="18415" b="3175"/>
            <wp:docPr id="11" name="图片 11" descr="b44381fa78ec3c67c293302b94b63f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b44381fa78ec3c67c293302b94b63f13"/>
                    <pic:cNvPicPr>
                      <a:picLocks noChangeAspect="1"/>
                    </pic:cNvPicPr>
                  </pic:nvPicPr>
                  <pic:blipFill>
                    <a:blip r:embed="rId14" cstate="print"/>
                    <a:stretch>
                      <a:fillRect/>
                    </a:stretch>
                  </pic:blipFill>
                  <pic:spPr>
                    <a:xfrm>
                      <a:off x="0" y="0"/>
                      <a:ext cx="4991735" cy="4302125"/>
                    </a:xfrm>
                    <a:prstGeom prst="rect">
                      <a:avLst/>
                    </a:prstGeom>
                  </pic:spPr>
                </pic:pic>
              </a:graphicData>
            </a:graphic>
          </wp:inline>
        </w:drawing>
      </w:r>
    </w:p>
    <w:p>
      <w:pPr>
        <w:pStyle w:val="25"/>
        <w:rPr>
          <w:rFonts w:hAnsi="Times New Roman" w:cs="Times New Roman"/>
          <w:color w:val="FF0000"/>
        </w:rPr>
      </w:pPr>
      <w:r>
        <w:rPr>
          <w:rFonts w:hAnsi="Times New Roman" w:cs="Times New Roman"/>
          <w:color w:val="FF0000"/>
        </w:rPr>
        <w:t xml:space="preserve">                              </w:t>
      </w:r>
    </w:p>
    <w:p>
      <w:pPr>
        <w:jc w:val="center"/>
        <w:rPr>
          <w:rFonts w:ascii="Times New Roman" w:hAnsi="Times New Roman" w:cs="Times New Roman"/>
          <w:color w:val="FF0000"/>
        </w:rPr>
      </w:pPr>
      <w:r>
        <w:rPr>
          <w:rFonts w:ascii="Times New Roman" w:hAnsi="Times New Roman" w:cs="Times New Roman"/>
          <w:color w:val="FF0000"/>
        </w:rPr>
        <w:pict>
          <v:shape id="_x0000_s1030" o:spid="_x0000_s1030" o:spt="202" type="#_x0000_t202" style="position:absolute;left:0pt;margin-left:338.55pt;margin-top:254.35pt;height:23.15pt;width:47.15pt;z-index:251662336;mso-width-relative:page;mso-height-relative:page;" stroked="t" coordsize="21600,21600" o:gfxdata="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Ox3bHfcAAAACwEAAA8AAAAAAAAAAQAgAAAAIgAAAGRycy9kb3ducmV2LnhtbFBLAQIU&#10;ABQAAAAIAIdO4kCr4fD8YQIAAMUEAAAOAAAAAAAAAAEAIAAAACsBAABkcnMvZTJvRG9jLnhtbFBL&#10;BQYAAAAABgAGAFkBAAD+BQAAAAA=&#10;">
            <v:path/>
            <v:fill focussize="0,0"/>
            <v:stroke weight="0.5pt" color="#FF0000" joinstyle="round"/>
            <v:imagedata o:title=""/>
            <o:lock v:ext="edit"/>
            <v:textbox>
              <w:txbxContent>
                <w:p>
                  <w:pPr>
                    <w:rPr>
                      <w:color w:val="FF0000"/>
                    </w:rPr>
                  </w:pPr>
                  <w:r>
                    <w:rPr>
                      <w:rFonts w:hint="eastAsia"/>
                      <w:color w:val="FF0000"/>
                    </w:rPr>
                    <w:t>水喷淋</w:t>
                  </w:r>
                </w:p>
              </w:txbxContent>
            </v:textbox>
          </v:shape>
        </w:pict>
      </w:r>
      <w:r>
        <w:rPr>
          <w:rFonts w:ascii="Times New Roman" w:hAnsi="Times New Roman" w:cs="Times New Roman"/>
          <w:color w:val="FF0000"/>
        </w:rPr>
        <w:drawing>
          <wp:inline distT="0" distB="0" distL="114300" distR="114300">
            <wp:extent cx="4075430" cy="3543935"/>
            <wp:effectExtent l="0" t="0" r="1270" b="18415"/>
            <wp:docPr id="15" name="图片 15" descr="微信图片_20220630101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微信图片_202206301012523"/>
                    <pic:cNvPicPr>
                      <a:picLocks noChangeAspect="1"/>
                    </pic:cNvPicPr>
                  </pic:nvPicPr>
                  <pic:blipFill>
                    <a:blip r:embed="rId15" cstate="print"/>
                    <a:stretch>
                      <a:fillRect/>
                    </a:stretch>
                  </pic:blipFill>
                  <pic:spPr>
                    <a:xfrm>
                      <a:off x="0" y="0"/>
                      <a:ext cx="4075430" cy="3543935"/>
                    </a:xfrm>
                    <a:prstGeom prst="rect">
                      <a:avLst/>
                    </a:prstGeom>
                  </pic:spPr>
                </pic:pic>
              </a:graphicData>
            </a:graphic>
          </wp:inline>
        </w:drawing>
      </w:r>
    </w:p>
    <w:p>
      <w:pPr>
        <w:pStyle w:val="25"/>
        <w:rPr>
          <w:rFonts w:hAnsi="Times New Roman" w:cs="Times New Roman"/>
          <w:color w:val="FF0000"/>
        </w:rPr>
      </w:pPr>
      <w:r>
        <w:rPr>
          <w:rFonts w:hAnsi="Times New Roman" w:cs="Times New Roman"/>
          <w:color w:val="FF0000"/>
        </w:rPr>
        <w:t xml:space="preserve">        </w:t>
      </w:r>
      <w:r>
        <w:rPr>
          <w:rFonts w:hAnsi="Times New Roman" w:cs="Times New Roman"/>
          <w:color w:val="FF0000"/>
        </w:rPr>
        <w:drawing>
          <wp:inline distT="0" distB="0" distL="114300" distR="114300">
            <wp:extent cx="4127500" cy="4876800"/>
            <wp:effectExtent l="0" t="0" r="6350" b="0"/>
            <wp:docPr id="33" name="图片 33" descr="微信图片_202206301012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微信图片_2022063010123240"/>
                    <pic:cNvPicPr>
                      <a:picLocks noChangeAspect="1"/>
                    </pic:cNvPicPr>
                  </pic:nvPicPr>
                  <pic:blipFill>
                    <a:blip r:embed="rId16" cstate="print"/>
                    <a:stretch>
                      <a:fillRect/>
                    </a:stretch>
                  </pic:blipFill>
                  <pic:spPr>
                    <a:xfrm>
                      <a:off x="0" y="0"/>
                      <a:ext cx="4127500" cy="4876800"/>
                    </a:xfrm>
                    <a:prstGeom prst="rect">
                      <a:avLst/>
                    </a:prstGeom>
                  </pic:spPr>
                </pic:pic>
              </a:graphicData>
            </a:graphic>
          </wp:inline>
        </w:drawing>
      </w:r>
    </w:p>
    <w:p>
      <w:pPr>
        <w:pStyle w:val="25"/>
        <w:rPr>
          <w:rFonts w:hAnsi="Times New Roman" w:cs="Times New Roman"/>
          <w:color w:val="FF0000"/>
        </w:rPr>
      </w:pPr>
      <w:r>
        <w:rPr>
          <w:rFonts w:hAnsi="Times New Roman" w:cs="Times New Roman"/>
          <w:color w:val="FF0000"/>
        </w:rPr>
        <w:t xml:space="preserve">                                                   </w:t>
      </w:r>
    </w:p>
    <w:p>
      <w:pPr>
        <w:jc w:val="center"/>
        <w:rPr>
          <w:rFonts w:ascii="Times New Roman" w:hAnsi="Times New Roman" w:cs="Times New Roman"/>
          <w:color w:val="FF0000"/>
        </w:rPr>
      </w:pPr>
      <w:r>
        <w:rPr>
          <w:rFonts w:ascii="Times New Roman" w:hAnsi="Times New Roman" w:cs="Times New Roman"/>
          <w:color w:val="FF0000"/>
        </w:rPr>
        <w:pict>
          <v:shape id="_x0000_s1029" o:spid="_x0000_s1029" o:spt="202" type="#_x0000_t202" style="position:absolute;left:0pt;margin-left:333.05pt;margin-top:282.5pt;height:26.5pt;width:82.4pt;z-index:251665408;mso-width-relative:page;mso-height-relative:page;" coordsize="21600,21600" o:gfxdata="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BACjiHXAAAACwEAAA8AAAAAAAAAAQAgAAAAIgAAAGRycy9kb3ducmV2LnhtbFBLAQIU&#10;ABQAAAAIAIdO4kCj6U8MZgIAAMUEAAAOAAAAAAAAAAEAIAAAACYBAABkcnMvZTJvRG9jLnhtbFBL&#10;BQYAAAAABgAGAFkBAAD+BQAAAAA=&#10;">
            <v:path/>
            <v:fill focussize="0,0"/>
            <v:stroke weight="0.5pt" joinstyle="round"/>
            <v:imagedata o:title=""/>
            <o:lock v:ext="edit"/>
            <v:textbox>
              <w:txbxContent>
                <w:p>
                  <w:pPr>
                    <w:pStyle w:val="25"/>
                    <w:ind w:firstLine="0"/>
                    <w:rPr>
                      <w:color w:val="FF0000"/>
                    </w:rPr>
                  </w:pPr>
                  <w:r>
                    <w:rPr>
                      <w:rFonts w:hint="eastAsia"/>
                      <w:color w:val="FF0000"/>
                    </w:rPr>
                    <w:t>布袋除尘系统</w:t>
                  </w:r>
                </w:p>
                <w:p/>
              </w:txbxContent>
            </v:textbox>
          </v:shape>
        </w:pict>
      </w:r>
      <w:r>
        <w:rPr>
          <w:rFonts w:ascii="Times New Roman" w:hAnsi="Times New Roman" w:cs="Times New Roman"/>
          <w:color w:val="FF0000"/>
        </w:rPr>
        <w:drawing>
          <wp:inline distT="0" distB="0" distL="114300" distR="114300">
            <wp:extent cx="4888865" cy="3945255"/>
            <wp:effectExtent l="0" t="0" r="6985" b="17145"/>
            <wp:docPr id="1" name="图片 1" descr="0a0ba9c94bc795951a8769dedec562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0a0ba9c94bc795951a8769dedec5625a"/>
                    <pic:cNvPicPr>
                      <a:picLocks noChangeAspect="1"/>
                    </pic:cNvPicPr>
                  </pic:nvPicPr>
                  <pic:blipFill>
                    <a:blip r:embed="rId17" cstate="print"/>
                    <a:stretch>
                      <a:fillRect/>
                    </a:stretch>
                  </pic:blipFill>
                  <pic:spPr>
                    <a:xfrm>
                      <a:off x="0" y="0"/>
                      <a:ext cx="4888865" cy="3945255"/>
                    </a:xfrm>
                    <a:prstGeom prst="rect">
                      <a:avLst/>
                    </a:prstGeom>
                  </pic:spPr>
                </pic:pic>
              </a:graphicData>
            </a:graphic>
          </wp:inline>
        </w:drawing>
      </w:r>
    </w:p>
    <w:p>
      <w:pPr>
        <w:pStyle w:val="25"/>
        <w:rPr>
          <w:rFonts w:hAnsi="Times New Roman" w:cs="Times New Roman"/>
          <w:color w:val="FF0000"/>
        </w:rPr>
      </w:pPr>
      <w:r>
        <w:rPr>
          <w:rFonts w:hAnsi="Times New Roman" w:cs="Times New Roman"/>
          <w:color w:val="FF0000"/>
        </w:rPr>
        <w:drawing>
          <wp:anchor distT="0" distB="0" distL="114300" distR="114300" simplePos="0" relativeHeight="251671552" behindDoc="1" locked="0" layoutInCell="1" allowOverlap="1">
            <wp:simplePos x="0" y="0"/>
            <wp:positionH relativeFrom="column">
              <wp:posOffset>341630</wp:posOffset>
            </wp:positionH>
            <wp:positionV relativeFrom="paragraph">
              <wp:posOffset>213360</wp:posOffset>
            </wp:positionV>
            <wp:extent cx="4977765" cy="4049395"/>
            <wp:effectExtent l="0" t="0" r="13335" b="8255"/>
            <wp:wrapTight wrapText="bothSides">
              <wp:wrapPolygon>
                <wp:start x="0" y="0"/>
                <wp:lineTo x="0" y="21542"/>
                <wp:lineTo x="21493" y="21542"/>
                <wp:lineTo x="21493" y="0"/>
                <wp:lineTo x="0" y="0"/>
              </wp:wrapPolygon>
            </wp:wrapTight>
            <wp:docPr id="30" name="图片 30" descr="微信图片_20220630101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微信图片_202206301012522"/>
                    <pic:cNvPicPr>
                      <a:picLocks noChangeAspect="1"/>
                    </pic:cNvPicPr>
                  </pic:nvPicPr>
                  <pic:blipFill>
                    <a:blip r:embed="rId18" cstate="print"/>
                    <a:stretch>
                      <a:fillRect/>
                    </a:stretch>
                  </pic:blipFill>
                  <pic:spPr>
                    <a:xfrm>
                      <a:off x="0" y="0"/>
                      <a:ext cx="4977765" cy="4049395"/>
                    </a:xfrm>
                    <a:prstGeom prst="rect">
                      <a:avLst/>
                    </a:prstGeom>
                  </pic:spPr>
                </pic:pic>
              </a:graphicData>
            </a:graphic>
          </wp:anchor>
        </w:drawing>
      </w:r>
    </w:p>
    <w:p>
      <w:pPr>
        <w:pStyle w:val="25"/>
        <w:jc w:val="center"/>
        <w:rPr>
          <w:rFonts w:hAnsi="Times New Roman" w:cs="Times New Roman"/>
          <w:color w:val="FF0000"/>
        </w:rPr>
      </w:pPr>
    </w:p>
    <w:p>
      <w:pPr>
        <w:jc w:val="center"/>
        <w:rPr>
          <w:rFonts w:ascii="Times New Roman" w:hAnsi="Times New Roman" w:cs="Times New Roman"/>
          <w:color w:val="FF0000"/>
        </w:rPr>
      </w:pPr>
    </w:p>
    <w:p>
      <w:pPr>
        <w:pStyle w:val="25"/>
        <w:rPr>
          <w:rFonts w:hAnsi="Times New Roman" w:cs="Times New Roman"/>
          <w:color w:val="FF0000"/>
        </w:rPr>
      </w:pPr>
    </w:p>
    <w:p>
      <w:pPr>
        <w:rPr>
          <w:rFonts w:ascii="Times New Roman" w:hAnsi="Times New Roman" w:cs="Times New Roman"/>
          <w:color w:val="FF0000"/>
        </w:rPr>
      </w:pPr>
      <w:r>
        <w:rPr>
          <w:rFonts w:ascii="Times New Roman" w:hAnsi="Times New Roman" w:cs="Times New Roman"/>
          <w:color w:val="FF0000"/>
        </w:rPr>
        <w:pict>
          <v:shape id="_x0000_s1028" o:spid="_x0000_s1028" o:spt="202" type="#_x0000_t202" style="position:absolute;left:0pt;margin-left:349.1pt;margin-top:224.55pt;height:22.8pt;width:68.35pt;z-index:251666432;mso-width-relative:page;mso-height-relative:page;" coordsize="21600,21600" o:gfxdata="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GnY5g9gAAAALAQAADwAAAAAAAAABACAAAAAiAAAAZHJzL2Rvd25yZXYueG1sUEsB&#10;AhQAFAAAAAgAh07iQEIw/cRnAgAAxAQAAA4AAAAAAAAAAQAgAAAAJwEAAGRycy9lMm9Eb2MueG1s&#10;UEsFBgAAAAAGAAYAWQEAAAAGAAAAAA==&#10;">
            <v:path/>
            <v:fill focussize="0,0"/>
            <v:stroke weight="0.5pt" joinstyle="round"/>
            <v:imagedata o:title=""/>
            <o:lock v:ext="edit"/>
            <v:textbox>
              <w:txbxContent>
                <w:p>
                  <w:pPr>
                    <w:rPr>
                      <w:color w:val="FF0000"/>
                    </w:rPr>
                  </w:pPr>
                  <w:r>
                    <w:rPr>
                      <w:rFonts w:hint="eastAsia"/>
                      <w:color w:val="FF0000"/>
                    </w:rPr>
                    <w:t>除油设备</w:t>
                  </w:r>
                </w:p>
              </w:txbxContent>
            </v:textbox>
          </v:shape>
        </w:pict>
      </w:r>
    </w:p>
    <w:p>
      <w:pPr>
        <w:pStyle w:val="25"/>
        <w:jc w:val="center"/>
        <w:rPr>
          <w:rFonts w:hAnsi="Times New Roman" w:cs="Times New Roman"/>
          <w:color w:val="FF0000"/>
        </w:rPr>
      </w:pPr>
      <w:r>
        <w:rPr>
          <w:rFonts w:hAnsi="Times New Roman" w:cs="Times New Roman"/>
          <w:color w:val="FF0000"/>
        </w:rPr>
        <w:pict>
          <v:shape id="_x0000_s1027" o:spid="_x0000_s1027" o:spt="202" type="#_x0000_t202" style="position:absolute;left:0pt;margin-left:317.25pt;margin-top:322.5pt;height:21.65pt;width:69.2pt;z-index:251667456;mso-width-relative:page;mso-height-relative:page;" coordsize="21600,21600" o:gfxdata="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Xmn1tNkAAAALAQAADwAAAAAAAAABACAAAAAiAAAAZHJzL2Rvd25yZXYueG1sUEsBAhQA&#10;FAAAAAgAh07iQAdo5YxjAgAAxAQAAA4AAAAAAAAAAQAgAAAAKAEAAGRycy9lMm9Eb2MueG1sUEsF&#10;BgAAAAAGAAYAWQEAAP0FAAAAAA==&#10;">
            <v:path/>
            <v:fill focussize="0,0"/>
            <v:stroke weight="0.5pt" joinstyle="round"/>
            <v:imagedata o:title=""/>
            <o:lock v:ext="edit"/>
            <v:textbox>
              <w:txbxContent>
                <w:p>
                  <w:pPr>
                    <w:rPr>
                      <w:color w:val="FF0000"/>
                    </w:rPr>
                  </w:pPr>
                  <w:r>
                    <w:rPr>
                      <w:rFonts w:hint="eastAsia"/>
                      <w:color w:val="FF0000"/>
                    </w:rPr>
                    <w:t>防风抑尘网</w:t>
                  </w:r>
                </w:p>
              </w:txbxContent>
            </v:textbox>
          </v:shape>
        </w:pict>
      </w:r>
      <w:r>
        <w:rPr>
          <w:rFonts w:hAnsi="Times New Roman" w:cs="Times New Roman"/>
          <w:color w:val="FF0000"/>
        </w:rPr>
        <w:drawing>
          <wp:inline distT="0" distB="0" distL="114300" distR="114300">
            <wp:extent cx="3921760" cy="4345940"/>
            <wp:effectExtent l="0" t="0" r="2540" b="16510"/>
            <wp:docPr id="34" name="图片 34" descr="166160714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1661607146329"/>
                    <pic:cNvPicPr>
                      <a:picLocks noChangeAspect="1"/>
                    </pic:cNvPicPr>
                  </pic:nvPicPr>
                  <pic:blipFill>
                    <a:blip r:embed="rId19" cstate="print"/>
                    <a:stretch>
                      <a:fillRect/>
                    </a:stretch>
                  </pic:blipFill>
                  <pic:spPr>
                    <a:xfrm>
                      <a:off x="0" y="0"/>
                      <a:ext cx="3921760" cy="4345940"/>
                    </a:xfrm>
                    <a:prstGeom prst="rect">
                      <a:avLst/>
                    </a:prstGeom>
                  </pic:spPr>
                </pic:pic>
              </a:graphicData>
            </a:graphic>
          </wp:inline>
        </w:drawing>
      </w:r>
    </w:p>
    <w:p>
      <w:pPr>
        <w:rPr>
          <w:rFonts w:ascii="Times New Roman" w:hAnsi="Times New Roman" w:cs="Times New Roman"/>
          <w:color w:val="FF0000"/>
        </w:rPr>
      </w:pPr>
      <w:r>
        <w:rPr>
          <w:rFonts w:hint="default" w:ascii="Times New Roman" w:cs="Times New Roman"/>
          <w:color w:val="FF0000"/>
        </w:rPr>
        <w:drawing>
          <wp:anchor distT="0" distB="0" distL="114300" distR="114300" simplePos="0" relativeHeight="251679744" behindDoc="1" locked="0" layoutInCell="1" allowOverlap="1">
            <wp:simplePos x="0" y="0"/>
            <wp:positionH relativeFrom="column">
              <wp:posOffset>1067435</wp:posOffset>
            </wp:positionH>
            <wp:positionV relativeFrom="paragraph">
              <wp:posOffset>104775</wp:posOffset>
            </wp:positionV>
            <wp:extent cx="3846830" cy="3611880"/>
            <wp:effectExtent l="0" t="0" r="1270" b="7620"/>
            <wp:wrapTight wrapText="bothSides">
              <wp:wrapPolygon>
                <wp:start x="0" y="0"/>
                <wp:lineTo x="0" y="21532"/>
                <wp:lineTo x="21500" y="21532"/>
                <wp:lineTo x="21500" y="0"/>
                <wp:lineTo x="0" y="0"/>
              </wp:wrapPolygon>
            </wp:wrapTight>
            <wp:docPr id="9" name="图片 9" descr="7b375743f3b707a6697d4e977e144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7b375743f3b707a6697d4e977e144aa"/>
                    <pic:cNvPicPr>
                      <a:picLocks noChangeAspect="1"/>
                    </pic:cNvPicPr>
                  </pic:nvPicPr>
                  <pic:blipFill>
                    <a:blip r:embed="rId20" cstate="print"/>
                    <a:stretch>
                      <a:fillRect/>
                    </a:stretch>
                  </pic:blipFill>
                  <pic:spPr>
                    <a:xfrm>
                      <a:off x="0" y="0"/>
                      <a:ext cx="3846830" cy="3611880"/>
                    </a:xfrm>
                    <a:prstGeom prst="rect">
                      <a:avLst/>
                    </a:prstGeom>
                  </pic:spPr>
                </pic:pic>
              </a:graphicData>
            </a:graphic>
          </wp:anchor>
        </w:drawing>
      </w:r>
    </w:p>
    <w:p>
      <w:pPr>
        <w:pStyle w:val="23"/>
        <w:spacing w:before="78" w:after="78"/>
        <w:jc w:val="center"/>
        <w:rPr>
          <w:rFonts w:hint="default" w:ascii="Times New Roman" w:cs="Times New Roman"/>
          <w:color w:val="FF0000"/>
        </w:rPr>
        <w:sectPr>
          <w:footerReference r:id="rId6" w:type="default"/>
          <w:pgSz w:w="11906" w:h="16838"/>
          <w:pgMar w:top="1417" w:right="1417" w:bottom="1417" w:left="1417" w:header="1077" w:footer="992" w:gutter="0"/>
          <w:pgBorders>
            <w:top w:val="none" w:sz="0" w:space="0"/>
            <w:left w:val="none" w:sz="0" w:space="0"/>
            <w:bottom w:val="none" w:sz="0" w:space="0"/>
            <w:right w:val="none" w:sz="0" w:space="0"/>
          </w:pgBorders>
          <w:cols w:space="425" w:num="1"/>
          <w:docGrid w:type="lines" w:linePitch="312" w:charSpace="0"/>
        </w:sectPr>
      </w:pPr>
    </w:p>
    <w:p>
      <w:pPr>
        <w:outlineLvl w:val="0"/>
        <w:rPr>
          <w:rFonts w:ascii="Times New Roman" w:hAnsi="Times New Roman" w:eastAsia="黑体" w:cs="Times New Roman"/>
          <w:bCs/>
          <w:color w:val="FF0000"/>
          <w:sz w:val="24"/>
        </w:rPr>
      </w:pPr>
      <w:bookmarkStart w:id="15" w:name="_Toc17247"/>
      <w:r>
        <w:rPr>
          <w:rFonts w:ascii="Times New Roman" w:hAnsi="Times New Roman" w:eastAsia="黑体" w:cs="Times New Roman"/>
          <w:bCs/>
          <w:color w:val="FF0000"/>
          <w:sz w:val="24"/>
        </w:rPr>
        <w:t>附件1：环境影响报告表的批复</w:t>
      </w:r>
      <w:bookmarkEnd w:id="15"/>
    </w:p>
    <w:p>
      <w:pPr>
        <w:pStyle w:val="25"/>
        <w:rPr>
          <w:rFonts w:hAnsi="Times New Roman" w:cs="Times New Roman"/>
          <w:color w:val="FF0000"/>
        </w:rPr>
        <w:sectPr>
          <w:pgSz w:w="11906" w:h="16838"/>
          <w:pgMar w:top="1417" w:right="1417" w:bottom="1417" w:left="1417" w:header="1077" w:footer="992" w:gutter="0"/>
          <w:pgBorders>
            <w:top w:val="none" w:sz="0" w:space="0"/>
            <w:left w:val="none" w:sz="0" w:space="0"/>
            <w:bottom w:val="none" w:sz="0" w:space="0"/>
            <w:right w:val="none" w:sz="0" w:space="0"/>
          </w:pgBorders>
          <w:cols w:space="425" w:num="1"/>
          <w:docGrid w:type="lines" w:linePitch="312" w:charSpace="0"/>
        </w:sectPr>
      </w:pPr>
      <w:r>
        <w:rPr>
          <w:rFonts w:hAnsi="Times New Roman" w:cs="Times New Roman"/>
          <w:color w:val="FF0000"/>
        </w:rPr>
        <w:drawing>
          <wp:inline distT="0" distB="0" distL="114300" distR="114300">
            <wp:extent cx="5758815" cy="7675245"/>
            <wp:effectExtent l="0" t="0" r="13335" b="1905"/>
            <wp:docPr id="20" name="图片 2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
                    <pic:cNvPicPr>
                      <a:picLocks noChangeAspect="1"/>
                    </pic:cNvPicPr>
                  </pic:nvPicPr>
                  <pic:blipFill>
                    <a:blip r:embed="rId21" cstate="print"/>
                    <a:stretch>
                      <a:fillRect/>
                    </a:stretch>
                  </pic:blipFill>
                  <pic:spPr>
                    <a:xfrm>
                      <a:off x="0" y="0"/>
                      <a:ext cx="5758815" cy="7675245"/>
                    </a:xfrm>
                    <a:prstGeom prst="rect">
                      <a:avLst/>
                    </a:prstGeom>
                  </pic:spPr>
                </pic:pic>
              </a:graphicData>
            </a:graphic>
          </wp:inline>
        </w:drawing>
      </w:r>
      <w:r>
        <w:rPr>
          <w:rFonts w:hAnsi="Times New Roman" w:cs="Times New Roman"/>
          <w:color w:val="FF0000"/>
        </w:rPr>
        <w:drawing>
          <wp:inline distT="0" distB="0" distL="114300" distR="114300">
            <wp:extent cx="5758815" cy="7675245"/>
            <wp:effectExtent l="0" t="0" r="13335" b="1905"/>
            <wp:docPr id="19" name="图片 1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2"/>
                    <pic:cNvPicPr>
                      <a:picLocks noChangeAspect="1"/>
                    </pic:cNvPicPr>
                  </pic:nvPicPr>
                  <pic:blipFill>
                    <a:blip r:embed="rId22" cstate="print"/>
                    <a:stretch>
                      <a:fillRect/>
                    </a:stretch>
                  </pic:blipFill>
                  <pic:spPr>
                    <a:xfrm>
                      <a:off x="0" y="0"/>
                      <a:ext cx="5758815" cy="7675245"/>
                    </a:xfrm>
                    <a:prstGeom prst="rect">
                      <a:avLst/>
                    </a:prstGeom>
                  </pic:spPr>
                </pic:pic>
              </a:graphicData>
            </a:graphic>
          </wp:inline>
        </w:drawing>
      </w:r>
    </w:p>
    <w:p>
      <w:pPr>
        <w:rPr>
          <w:rFonts w:ascii="Times New Roman" w:hAnsi="Times New Roman" w:cs="Times New Roman"/>
          <w:color w:val="FF0000"/>
        </w:rPr>
      </w:pPr>
      <w:r>
        <w:rPr>
          <w:rFonts w:ascii="Times New Roman" w:hAnsi="Times New Roman" w:cs="Times New Roman"/>
          <w:color w:val="FF0000"/>
        </w:rPr>
        <w:drawing>
          <wp:inline distT="0" distB="0" distL="114300" distR="114300">
            <wp:extent cx="5745480" cy="7924800"/>
            <wp:effectExtent l="0" t="0" r="7620" b="0"/>
            <wp:docPr id="17" name="图片 1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3"/>
                    <pic:cNvPicPr>
                      <a:picLocks noChangeAspect="1"/>
                    </pic:cNvPicPr>
                  </pic:nvPicPr>
                  <pic:blipFill>
                    <a:blip r:embed="rId23" cstate="print"/>
                    <a:stretch>
                      <a:fillRect/>
                    </a:stretch>
                  </pic:blipFill>
                  <pic:spPr>
                    <a:xfrm>
                      <a:off x="0" y="0"/>
                      <a:ext cx="5745480" cy="7924800"/>
                    </a:xfrm>
                    <a:prstGeom prst="rect">
                      <a:avLst/>
                    </a:prstGeom>
                  </pic:spPr>
                </pic:pic>
              </a:graphicData>
            </a:graphic>
          </wp:inline>
        </w:drawing>
      </w:r>
    </w:p>
    <w:p>
      <w:pPr>
        <w:pStyle w:val="25"/>
        <w:rPr>
          <w:rFonts w:hAnsi="Times New Roman" w:cs="Times New Roman"/>
          <w:color w:val="FF0000"/>
        </w:rPr>
        <w:sectPr>
          <w:pgSz w:w="11906" w:h="16838"/>
          <w:pgMar w:top="1417" w:right="1417" w:bottom="1417" w:left="1417" w:header="1077" w:footer="992" w:gutter="0"/>
          <w:pgBorders>
            <w:top w:val="none" w:sz="0" w:space="0"/>
            <w:left w:val="none" w:sz="0" w:space="0"/>
            <w:bottom w:val="none" w:sz="0" w:space="0"/>
            <w:right w:val="none" w:sz="0" w:space="0"/>
          </w:pgBorders>
          <w:cols w:space="425" w:num="1"/>
          <w:docGrid w:type="lines" w:linePitch="312" w:charSpace="0"/>
        </w:sectPr>
      </w:pPr>
      <w:r>
        <w:rPr>
          <w:rFonts w:hAnsi="Times New Roman" w:cs="Times New Roman"/>
          <w:color w:val="FF0000"/>
        </w:rPr>
        <w:drawing>
          <wp:inline distT="0" distB="0" distL="114300" distR="114300">
            <wp:extent cx="5756910" cy="7771765"/>
            <wp:effectExtent l="0" t="0" r="15240" b="635"/>
            <wp:docPr id="21" name="图片 2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4"/>
                    <pic:cNvPicPr>
                      <a:picLocks noChangeAspect="1"/>
                    </pic:cNvPicPr>
                  </pic:nvPicPr>
                  <pic:blipFill>
                    <a:blip r:embed="rId24" cstate="print"/>
                    <a:stretch>
                      <a:fillRect/>
                    </a:stretch>
                  </pic:blipFill>
                  <pic:spPr>
                    <a:xfrm>
                      <a:off x="0" y="0"/>
                      <a:ext cx="5756910" cy="7771765"/>
                    </a:xfrm>
                    <a:prstGeom prst="rect">
                      <a:avLst/>
                    </a:prstGeom>
                  </pic:spPr>
                </pic:pic>
              </a:graphicData>
            </a:graphic>
          </wp:inline>
        </w:drawing>
      </w:r>
    </w:p>
    <w:p>
      <w:pPr>
        <w:outlineLvl w:val="0"/>
        <w:rPr>
          <w:rFonts w:ascii="Times New Roman" w:hAnsi="Times New Roman" w:eastAsia="黑体" w:cs="Times New Roman"/>
          <w:bCs/>
          <w:color w:val="FF0000"/>
          <w:sz w:val="24"/>
        </w:rPr>
      </w:pPr>
      <w:bookmarkStart w:id="16" w:name="_Toc1690"/>
      <w:r>
        <w:rPr>
          <w:rFonts w:ascii="Times New Roman" w:hAnsi="Times New Roman" w:cs="Times New Roman"/>
          <w:color w:val="FF0000"/>
        </w:rPr>
        <w:drawing>
          <wp:anchor distT="0" distB="0" distL="114300" distR="114300" simplePos="0" relativeHeight="251669504" behindDoc="1" locked="0" layoutInCell="1" allowOverlap="1">
            <wp:simplePos x="0" y="0"/>
            <wp:positionH relativeFrom="column">
              <wp:posOffset>-899795</wp:posOffset>
            </wp:positionH>
            <wp:positionV relativeFrom="paragraph">
              <wp:posOffset>1542415</wp:posOffset>
            </wp:positionV>
            <wp:extent cx="7589520" cy="5367020"/>
            <wp:effectExtent l="0" t="0" r="5080" b="11430"/>
            <wp:wrapTight wrapText="bothSides">
              <wp:wrapPolygon>
                <wp:start x="21600" y="0"/>
                <wp:lineTo x="76" y="0"/>
                <wp:lineTo x="76" y="21544"/>
                <wp:lineTo x="21600" y="21544"/>
                <wp:lineTo x="21600" y="0"/>
              </wp:wrapPolygon>
            </wp:wrapTight>
            <wp:docPr id="22" name="图片 22" descr="排污许可证正本信息公开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排污许可证正本信息公开_00"/>
                    <pic:cNvPicPr>
                      <a:picLocks noChangeAspect="1"/>
                    </pic:cNvPicPr>
                  </pic:nvPicPr>
                  <pic:blipFill>
                    <a:blip r:embed="rId25" cstate="print"/>
                    <a:stretch>
                      <a:fillRect/>
                    </a:stretch>
                  </pic:blipFill>
                  <pic:spPr>
                    <a:xfrm rot="16200000">
                      <a:off x="0" y="0"/>
                      <a:ext cx="7589520" cy="5367020"/>
                    </a:xfrm>
                    <a:prstGeom prst="rect">
                      <a:avLst/>
                    </a:prstGeom>
                  </pic:spPr>
                </pic:pic>
              </a:graphicData>
            </a:graphic>
          </wp:anchor>
        </w:drawing>
      </w:r>
      <w:r>
        <w:rPr>
          <w:rFonts w:ascii="Times New Roman" w:hAnsi="Times New Roman" w:eastAsia="黑体" w:cs="Times New Roman"/>
          <w:bCs/>
          <w:color w:val="FF0000"/>
          <w:sz w:val="24"/>
        </w:rPr>
        <w:t>附件2：排污许可证</w:t>
      </w:r>
      <w:bookmarkEnd w:id="16"/>
    </w:p>
    <w:p>
      <w:pPr>
        <w:pStyle w:val="25"/>
        <w:rPr>
          <w:rFonts w:hAnsi="Times New Roman" w:cs="Times New Roman"/>
          <w:color w:val="FF0000"/>
        </w:rPr>
        <w:sectPr>
          <w:pgSz w:w="11906" w:h="16838"/>
          <w:pgMar w:top="1417" w:right="1417" w:bottom="1417" w:left="1417" w:header="1077" w:footer="992" w:gutter="0"/>
          <w:pgBorders>
            <w:top w:val="none" w:sz="0" w:space="0"/>
            <w:left w:val="none" w:sz="0" w:space="0"/>
            <w:bottom w:val="none" w:sz="0" w:space="0"/>
            <w:right w:val="none" w:sz="0" w:space="0"/>
          </w:pgBorders>
          <w:cols w:space="425" w:num="1"/>
          <w:docGrid w:type="lines" w:linePitch="312" w:charSpace="0"/>
        </w:sectPr>
      </w:pPr>
    </w:p>
    <w:p>
      <w:pPr>
        <w:outlineLvl w:val="0"/>
        <w:rPr>
          <w:rFonts w:ascii="Times New Roman" w:hAnsi="Times New Roman" w:eastAsia="黑体" w:cs="Times New Roman"/>
          <w:bCs/>
          <w:color w:val="FF0000"/>
          <w:sz w:val="24"/>
        </w:rPr>
      </w:pPr>
      <w:bookmarkStart w:id="17" w:name="_Toc3474"/>
      <w:r>
        <w:rPr>
          <w:rFonts w:ascii="Times New Roman" w:hAnsi="Times New Roman" w:eastAsia="黑体" w:cs="Times New Roman"/>
          <w:bCs/>
          <w:color w:val="FF0000"/>
          <w:sz w:val="24"/>
        </w:rPr>
        <w:t>附件3：监测报告</w:t>
      </w:r>
      <w:bookmarkEnd w:id="17"/>
    </w:p>
    <w:p>
      <w:pPr>
        <w:pStyle w:val="25"/>
        <w:ind w:firstLine="0"/>
        <w:outlineLvl w:val="0"/>
        <w:sectPr>
          <w:pgSz w:w="11906" w:h="16838"/>
          <w:pgMar w:top="1417" w:right="1417" w:bottom="1417" w:left="1417" w:header="1077" w:footer="992" w:gutter="0"/>
          <w:pgBorders>
            <w:top w:val="none" w:sz="0" w:space="0"/>
            <w:left w:val="none" w:sz="0" w:space="0"/>
            <w:bottom w:val="none" w:sz="0" w:space="0"/>
            <w:right w:val="none" w:sz="0" w:space="0"/>
          </w:pgBorders>
          <w:cols w:space="425" w:num="1"/>
          <w:docGrid w:type="lines" w:linePitch="312" w:charSpace="0"/>
        </w:sectPr>
      </w:pPr>
      <w:r>
        <w:drawing>
          <wp:inline distT="0" distB="0" distL="114300" distR="114300">
            <wp:extent cx="5676900" cy="8001000"/>
            <wp:effectExtent l="9525" t="9525" r="9525"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26" cstate="print"/>
                    <a:stretch>
                      <a:fillRect/>
                    </a:stretch>
                  </pic:blipFill>
                  <pic:spPr>
                    <a:xfrm>
                      <a:off x="0" y="0"/>
                      <a:ext cx="5676900" cy="8001000"/>
                    </a:xfrm>
                    <a:prstGeom prst="rect">
                      <a:avLst/>
                    </a:prstGeom>
                    <a:noFill/>
                    <a:ln>
                      <a:solidFill>
                        <a:schemeClr val="tx1"/>
                      </a:solidFill>
                    </a:ln>
                  </pic:spPr>
                </pic:pic>
              </a:graphicData>
            </a:graphic>
          </wp:inline>
        </w:drawing>
      </w:r>
    </w:p>
    <w:p>
      <w:pPr>
        <w:sectPr>
          <w:pgSz w:w="11906" w:h="16838"/>
          <w:pgMar w:top="1417" w:right="1417" w:bottom="1417" w:left="1417" w:header="1077" w:footer="992" w:gutter="0"/>
          <w:pgBorders>
            <w:top w:val="none" w:sz="0" w:space="0"/>
            <w:left w:val="none" w:sz="0" w:space="0"/>
            <w:bottom w:val="none" w:sz="0" w:space="0"/>
            <w:right w:val="none" w:sz="0" w:space="0"/>
          </w:pgBorders>
          <w:cols w:space="425" w:num="1"/>
          <w:docGrid w:type="lines" w:linePitch="312" w:charSpace="0"/>
        </w:sectPr>
      </w:pPr>
      <w:r>
        <w:drawing>
          <wp:inline distT="0" distB="0" distL="114300" distR="114300">
            <wp:extent cx="5657850" cy="7867650"/>
            <wp:effectExtent l="9525" t="9525" r="9525" b="952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27" cstate="print"/>
                    <a:stretch>
                      <a:fillRect/>
                    </a:stretch>
                  </pic:blipFill>
                  <pic:spPr>
                    <a:xfrm>
                      <a:off x="0" y="0"/>
                      <a:ext cx="5657850" cy="7867650"/>
                    </a:xfrm>
                    <a:prstGeom prst="rect">
                      <a:avLst/>
                    </a:prstGeom>
                    <a:noFill/>
                    <a:ln>
                      <a:solidFill>
                        <a:schemeClr val="tx1"/>
                      </a:solidFill>
                    </a:ln>
                  </pic:spPr>
                </pic:pic>
              </a:graphicData>
            </a:graphic>
          </wp:inline>
        </w:drawing>
      </w:r>
    </w:p>
    <w:p>
      <w:pPr>
        <w:pStyle w:val="2"/>
        <w:sectPr>
          <w:pgSz w:w="11906" w:h="16838"/>
          <w:pgMar w:top="1417" w:right="1417" w:bottom="1417" w:left="1417" w:header="1077" w:footer="992" w:gutter="0"/>
          <w:pgBorders>
            <w:top w:val="none" w:sz="0" w:space="0"/>
            <w:left w:val="none" w:sz="0" w:space="0"/>
            <w:bottom w:val="none" w:sz="0" w:space="0"/>
            <w:right w:val="none" w:sz="0" w:space="0"/>
          </w:pgBorders>
          <w:cols w:space="425" w:num="1"/>
          <w:docGrid w:type="lines" w:linePitch="312" w:charSpace="0"/>
        </w:sectPr>
      </w:pPr>
      <w:r>
        <w:drawing>
          <wp:anchor distT="0" distB="0" distL="114300" distR="114300" simplePos="0" relativeHeight="251672576" behindDoc="1" locked="0" layoutInCell="1" allowOverlap="1">
            <wp:simplePos x="0" y="0"/>
            <wp:positionH relativeFrom="column">
              <wp:posOffset>193040</wp:posOffset>
            </wp:positionH>
            <wp:positionV relativeFrom="paragraph">
              <wp:posOffset>147955</wp:posOffset>
            </wp:positionV>
            <wp:extent cx="5657850" cy="7905750"/>
            <wp:effectExtent l="9525" t="9525" r="9525" b="9525"/>
            <wp:wrapTight wrapText="bothSides">
              <wp:wrapPolygon>
                <wp:start x="-36" y="-26"/>
                <wp:lineTo x="-36" y="21574"/>
                <wp:lineTo x="21564" y="21574"/>
                <wp:lineTo x="21564" y="-26"/>
                <wp:lineTo x="-36" y="-26"/>
              </wp:wrapPolygon>
            </wp:wrapTight>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28" cstate="print"/>
                    <a:stretch>
                      <a:fillRect/>
                    </a:stretch>
                  </pic:blipFill>
                  <pic:spPr>
                    <a:xfrm>
                      <a:off x="0" y="0"/>
                      <a:ext cx="5657850" cy="7905750"/>
                    </a:xfrm>
                    <a:prstGeom prst="rect">
                      <a:avLst/>
                    </a:prstGeom>
                    <a:noFill/>
                    <a:ln>
                      <a:solidFill>
                        <a:schemeClr val="tx1"/>
                      </a:solidFill>
                    </a:ln>
                  </pic:spPr>
                </pic:pic>
              </a:graphicData>
            </a:graphic>
          </wp:anchor>
        </w:drawing>
      </w:r>
    </w:p>
    <w:p>
      <w:pPr>
        <w:pStyle w:val="2"/>
        <w:sectPr>
          <w:pgSz w:w="11906" w:h="16838"/>
          <w:pgMar w:top="1417" w:right="1417" w:bottom="1417" w:left="1417" w:header="1077" w:footer="992" w:gutter="0"/>
          <w:pgBorders>
            <w:top w:val="none" w:sz="0" w:space="0"/>
            <w:left w:val="none" w:sz="0" w:space="0"/>
            <w:bottom w:val="none" w:sz="0" w:space="0"/>
            <w:right w:val="none" w:sz="0" w:space="0"/>
          </w:pgBorders>
          <w:cols w:space="425" w:num="1"/>
          <w:docGrid w:type="lines" w:linePitch="312" w:charSpace="0"/>
        </w:sectPr>
      </w:pPr>
      <w:r>
        <w:drawing>
          <wp:anchor distT="0" distB="0" distL="114300" distR="114300" simplePos="0" relativeHeight="251673600" behindDoc="1" locked="0" layoutInCell="1" allowOverlap="1">
            <wp:simplePos x="0" y="0"/>
            <wp:positionH relativeFrom="column">
              <wp:posOffset>440055</wp:posOffset>
            </wp:positionH>
            <wp:positionV relativeFrom="paragraph">
              <wp:posOffset>211455</wp:posOffset>
            </wp:positionV>
            <wp:extent cx="5667375" cy="7924800"/>
            <wp:effectExtent l="9525" t="9525" r="19050" b="9525"/>
            <wp:wrapTight wrapText="bothSides">
              <wp:wrapPolygon>
                <wp:start x="-36" y="-26"/>
                <wp:lineTo x="-36" y="21574"/>
                <wp:lineTo x="21600" y="21574"/>
                <wp:lineTo x="21600" y="-26"/>
                <wp:lineTo x="-36" y="-26"/>
              </wp:wrapPolygon>
            </wp:wrapTight>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29" cstate="print"/>
                    <a:stretch>
                      <a:fillRect/>
                    </a:stretch>
                  </pic:blipFill>
                  <pic:spPr>
                    <a:xfrm>
                      <a:off x="0" y="0"/>
                      <a:ext cx="5667375" cy="7924800"/>
                    </a:xfrm>
                    <a:prstGeom prst="rect">
                      <a:avLst/>
                    </a:prstGeom>
                    <a:noFill/>
                    <a:ln>
                      <a:solidFill>
                        <a:schemeClr val="tx1"/>
                      </a:solidFill>
                    </a:ln>
                  </pic:spPr>
                </pic:pic>
              </a:graphicData>
            </a:graphic>
          </wp:anchor>
        </w:drawing>
      </w:r>
    </w:p>
    <w:p>
      <w:pPr>
        <w:pStyle w:val="2"/>
        <w:sectPr>
          <w:pgSz w:w="11906" w:h="16838"/>
          <w:pgMar w:top="1417" w:right="1417" w:bottom="1417" w:left="1417" w:header="1077" w:footer="992" w:gutter="0"/>
          <w:pgBorders>
            <w:top w:val="none" w:sz="0" w:space="0"/>
            <w:left w:val="none" w:sz="0" w:space="0"/>
            <w:bottom w:val="none" w:sz="0" w:space="0"/>
            <w:right w:val="none" w:sz="0" w:space="0"/>
          </w:pgBorders>
          <w:cols w:space="425" w:num="1"/>
          <w:docGrid w:type="lines" w:linePitch="312" w:charSpace="0"/>
        </w:sectPr>
      </w:pPr>
      <w:r>
        <w:drawing>
          <wp:anchor distT="0" distB="0" distL="114300" distR="114300" simplePos="0" relativeHeight="251674624" behindDoc="1" locked="0" layoutInCell="1" allowOverlap="1">
            <wp:simplePos x="0" y="0"/>
            <wp:positionH relativeFrom="column">
              <wp:posOffset>97790</wp:posOffset>
            </wp:positionH>
            <wp:positionV relativeFrom="paragraph">
              <wp:posOffset>147955</wp:posOffset>
            </wp:positionV>
            <wp:extent cx="5705475" cy="7962900"/>
            <wp:effectExtent l="9525" t="9525" r="19050" b="9525"/>
            <wp:wrapTight wrapText="bothSides">
              <wp:wrapPolygon>
                <wp:start x="-36" y="-26"/>
                <wp:lineTo x="-36" y="21574"/>
                <wp:lineTo x="21600" y="21574"/>
                <wp:lineTo x="21600" y="-26"/>
                <wp:lineTo x="-36" y="-26"/>
              </wp:wrapPolygon>
            </wp:wrapTight>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30" cstate="print"/>
                    <a:stretch>
                      <a:fillRect/>
                    </a:stretch>
                  </pic:blipFill>
                  <pic:spPr>
                    <a:xfrm>
                      <a:off x="0" y="0"/>
                      <a:ext cx="5705475" cy="7962900"/>
                    </a:xfrm>
                    <a:prstGeom prst="rect">
                      <a:avLst/>
                    </a:prstGeom>
                    <a:noFill/>
                    <a:ln>
                      <a:solidFill>
                        <a:schemeClr val="tx1"/>
                      </a:solidFill>
                    </a:ln>
                  </pic:spPr>
                </pic:pic>
              </a:graphicData>
            </a:graphic>
          </wp:anchor>
        </w:drawing>
      </w:r>
    </w:p>
    <w:p>
      <w:pPr>
        <w:pStyle w:val="2"/>
        <w:sectPr>
          <w:pgSz w:w="11906" w:h="16838"/>
          <w:pgMar w:top="1417" w:right="1417" w:bottom="1417" w:left="1417" w:header="1077" w:footer="992" w:gutter="0"/>
          <w:pgBorders>
            <w:top w:val="none" w:sz="0" w:space="0"/>
            <w:left w:val="none" w:sz="0" w:space="0"/>
            <w:bottom w:val="none" w:sz="0" w:space="0"/>
            <w:right w:val="none" w:sz="0" w:space="0"/>
          </w:pgBorders>
          <w:cols w:space="425" w:num="1"/>
          <w:docGrid w:type="lines" w:linePitch="312" w:charSpace="0"/>
        </w:sectPr>
      </w:pPr>
      <w:r>
        <w:drawing>
          <wp:anchor distT="0" distB="0" distL="114300" distR="114300" simplePos="0" relativeHeight="251675648" behindDoc="1" locked="0" layoutInCell="1" allowOverlap="1">
            <wp:simplePos x="0" y="0"/>
            <wp:positionH relativeFrom="column">
              <wp:posOffset>224790</wp:posOffset>
            </wp:positionH>
            <wp:positionV relativeFrom="paragraph">
              <wp:posOffset>116205</wp:posOffset>
            </wp:positionV>
            <wp:extent cx="5667375" cy="7810500"/>
            <wp:effectExtent l="9525" t="9525" r="19050" b="9525"/>
            <wp:wrapTight wrapText="bothSides">
              <wp:wrapPolygon>
                <wp:start x="-36" y="-26"/>
                <wp:lineTo x="-36" y="21574"/>
                <wp:lineTo x="21600" y="21574"/>
                <wp:lineTo x="21600" y="-26"/>
                <wp:lineTo x="-36" y="-26"/>
              </wp:wrapPolygon>
            </wp:wrapTight>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31" cstate="print"/>
                    <a:stretch>
                      <a:fillRect/>
                    </a:stretch>
                  </pic:blipFill>
                  <pic:spPr>
                    <a:xfrm>
                      <a:off x="0" y="0"/>
                      <a:ext cx="5667375" cy="7810500"/>
                    </a:xfrm>
                    <a:prstGeom prst="rect">
                      <a:avLst/>
                    </a:prstGeom>
                    <a:noFill/>
                    <a:ln>
                      <a:solidFill>
                        <a:schemeClr val="tx1"/>
                      </a:solidFill>
                    </a:ln>
                  </pic:spPr>
                </pic:pic>
              </a:graphicData>
            </a:graphic>
          </wp:anchor>
        </w:drawing>
      </w:r>
    </w:p>
    <w:p>
      <w:pPr>
        <w:pStyle w:val="2"/>
        <w:rPr>
          <w:rFonts w:hint="eastAsia" w:eastAsia="宋体"/>
          <w:lang w:eastAsia="zh-CN"/>
        </w:rPr>
        <w:sectPr>
          <w:pgSz w:w="11906" w:h="16838"/>
          <w:pgMar w:top="1417" w:right="1417" w:bottom="1417" w:left="1417" w:header="1077" w:footer="992" w:gutter="0"/>
          <w:pgBorders>
            <w:top w:val="none" w:sz="0" w:space="0"/>
            <w:left w:val="none" w:sz="0" w:space="0"/>
            <w:bottom w:val="none" w:sz="0" w:space="0"/>
            <w:right w:val="none" w:sz="0" w:space="0"/>
          </w:pgBorders>
          <w:cols w:space="425" w:num="1"/>
          <w:docGrid w:type="lines" w:linePitch="312" w:charSpace="0"/>
        </w:sectPr>
      </w:pPr>
      <w:r>
        <w:rPr>
          <w:rFonts w:hint="eastAsia" w:eastAsia="宋体"/>
          <w:lang w:eastAsia="zh-CN"/>
        </w:rPr>
        <w:drawing>
          <wp:anchor distT="0" distB="0" distL="114300" distR="114300" simplePos="0" relativeHeight="251676672" behindDoc="1" locked="0" layoutInCell="1" allowOverlap="1">
            <wp:simplePos x="0" y="0"/>
            <wp:positionH relativeFrom="column">
              <wp:posOffset>-33020</wp:posOffset>
            </wp:positionH>
            <wp:positionV relativeFrom="paragraph">
              <wp:posOffset>65405</wp:posOffset>
            </wp:positionV>
            <wp:extent cx="5638800" cy="7985760"/>
            <wp:effectExtent l="9525" t="9525" r="66675" b="62865"/>
            <wp:wrapTight wrapText="bothSides">
              <wp:wrapPolygon>
                <wp:start x="-36" y="-26"/>
                <wp:lineTo x="-36" y="21564"/>
                <wp:lineTo x="21564" y="21564"/>
                <wp:lineTo x="21564" y="-26"/>
                <wp:lineTo x="-36" y="-26"/>
              </wp:wrapPolygon>
            </wp:wrapTight>
            <wp:docPr id="25" name="图片 25" descr="doc20231208160925_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doc20231208160925_007"/>
                    <pic:cNvPicPr>
                      <a:picLocks noChangeAspect="1"/>
                    </pic:cNvPicPr>
                  </pic:nvPicPr>
                  <pic:blipFill>
                    <a:blip r:embed="rId32"/>
                    <a:stretch>
                      <a:fillRect/>
                    </a:stretch>
                  </pic:blipFill>
                  <pic:spPr>
                    <a:xfrm>
                      <a:off x="0" y="0"/>
                      <a:ext cx="5638800" cy="7985760"/>
                    </a:xfrm>
                    <a:prstGeom prst="rect">
                      <a:avLst/>
                    </a:prstGeom>
                    <a:ln>
                      <a:solidFill>
                        <a:schemeClr val="tx1"/>
                      </a:solidFill>
                    </a:ln>
                  </pic:spPr>
                </pic:pic>
              </a:graphicData>
            </a:graphic>
          </wp:anchor>
        </w:drawing>
      </w:r>
    </w:p>
    <w:p>
      <w:pPr>
        <w:pStyle w:val="2"/>
        <w:rPr>
          <w:rFonts w:hint="eastAsia" w:eastAsia="宋体"/>
          <w:lang w:eastAsia="zh-CN"/>
        </w:rPr>
        <w:sectPr>
          <w:pgSz w:w="11906" w:h="16838"/>
          <w:pgMar w:top="1417" w:right="1417" w:bottom="1417" w:left="1417" w:header="1077" w:footer="992" w:gutter="0"/>
          <w:pgBorders>
            <w:top w:val="none" w:sz="0" w:space="0"/>
            <w:left w:val="none" w:sz="0" w:space="0"/>
            <w:bottom w:val="none" w:sz="0" w:space="0"/>
            <w:right w:val="none" w:sz="0" w:space="0"/>
          </w:pgBorders>
          <w:cols w:space="425" w:num="1"/>
          <w:docGrid w:type="lines" w:linePitch="312" w:charSpace="0"/>
        </w:sectPr>
      </w:pPr>
      <w:r>
        <w:rPr>
          <w:rFonts w:hint="eastAsia" w:eastAsia="宋体"/>
          <w:lang w:eastAsia="zh-CN"/>
        </w:rPr>
        <w:drawing>
          <wp:anchor distT="0" distB="0" distL="114300" distR="114300" simplePos="0" relativeHeight="251677696" behindDoc="1" locked="0" layoutInCell="1" allowOverlap="1">
            <wp:simplePos x="0" y="0"/>
            <wp:positionH relativeFrom="column">
              <wp:posOffset>71755</wp:posOffset>
            </wp:positionH>
            <wp:positionV relativeFrom="paragraph">
              <wp:posOffset>191135</wp:posOffset>
            </wp:positionV>
            <wp:extent cx="5760085" cy="8145780"/>
            <wp:effectExtent l="9525" t="9525" r="21590" b="17145"/>
            <wp:wrapTight wrapText="bothSides">
              <wp:wrapPolygon>
                <wp:start x="-36" y="-25"/>
                <wp:lineTo x="-36" y="21595"/>
                <wp:lineTo x="21538" y="21595"/>
                <wp:lineTo x="21538" y="-25"/>
                <wp:lineTo x="-36" y="-25"/>
              </wp:wrapPolygon>
            </wp:wrapTight>
            <wp:docPr id="26" name="图片 26" descr="doc20231208160925_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doc20231208160925_008"/>
                    <pic:cNvPicPr>
                      <a:picLocks noChangeAspect="1"/>
                    </pic:cNvPicPr>
                  </pic:nvPicPr>
                  <pic:blipFill>
                    <a:blip r:embed="rId33"/>
                    <a:stretch>
                      <a:fillRect/>
                    </a:stretch>
                  </pic:blipFill>
                  <pic:spPr>
                    <a:xfrm>
                      <a:off x="0" y="0"/>
                      <a:ext cx="5760085" cy="8145780"/>
                    </a:xfrm>
                    <a:prstGeom prst="rect">
                      <a:avLst/>
                    </a:prstGeom>
                    <a:ln>
                      <a:solidFill>
                        <a:schemeClr val="tx1"/>
                      </a:solidFill>
                    </a:ln>
                  </pic:spPr>
                </pic:pic>
              </a:graphicData>
            </a:graphic>
          </wp:anchor>
        </w:drawing>
      </w:r>
    </w:p>
    <w:p>
      <w:pPr>
        <w:pStyle w:val="2"/>
        <w:rPr>
          <w:rFonts w:hint="eastAsia" w:eastAsia="宋体"/>
          <w:lang w:eastAsia="zh-CN"/>
        </w:rPr>
      </w:pPr>
      <w:r>
        <w:rPr>
          <w:rFonts w:hint="eastAsia" w:eastAsia="宋体"/>
          <w:lang w:eastAsia="zh-CN"/>
        </w:rPr>
        <w:drawing>
          <wp:anchor distT="0" distB="0" distL="114300" distR="114300" simplePos="0" relativeHeight="251678720" behindDoc="1" locked="0" layoutInCell="1" allowOverlap="1">
            <wp:simplePos x="0" y="0"/>
            <wp:positionH relativeFrom="column">
              <wp:posOffset>-57150</wp:posOffset>
            </wp:positionH>
            <wp:positionV relativeFrom="paragraph">
              <wp:posOffset>149225</wp:posOffset>
            </wp:positionV>
            <wp:extent cx="5760085" cy="8145780"/>
            <wp:effectExtent l="9525" t="9525" r="21590" b="17145"/>
            <wp:wrapTight wrapText="bothSides">
              <wp:wrapPolygon>
                <wp:start x="-36" y="-25"/>
                <wp:lineTo x="-36" y="21595"/>
                <wp:lineTo x="21538" y="21595"/>
                <wp:lineTo x="21538" y="-25"/>
                <wp:lineTo x="-36" y="-25"/>
              </wp:wrapPolygon>
            </wp:wrapTight>
            <wp:docPr id="27" name="图片 27" descr="doc20231208160925_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doc20231208160925_009"/>
                    <pic:cNvPicPr>
                      <a:picLocks noChangeAspect="1"/>
                    </pic:cNvPicPr>
                  </pic:nvPicPr>
                  <pic:blipFill>
                    <a:blip r:embed="rId34"/>
                    <a:stretch>
                      <a:fillRect/>
                    </a:stretch>
                  </pic:blipFill>
                  <pic:spPr>
                    <a:xfrm>
                      <a:off x="0" y="0"/>
                      <a:ext cx="5760085" cy="8145780"/>
                    </a:xfrm>
                    <a:prstGeom prst="rect">
                      <a:avLst/>
                    </a:prstGeom>
                    <a:ln>
                      <a:solidFill>
                        <a:schemeClr val="tx1"/>
                      </a:solidFill>
                    </a:ln>
                  </pic:spPr>
                </pic:pic>
              </a:graphicData>
            </a:graphic>
          </wp:anchor>
        </w:drawing>
      </w:r>
    </w:p>
    <w:sectPr>
      <w:pgSz w:w="11906" w:h="16838"/>
      <w:pgMar w:top="1417" w:right="1417" w:bottom="1417" w:left="1417" w:header="1077"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_GBK">
    <w:altName w:val="微软雅黑"/>
    <w:panose1 w:val="00000000000000000000"/>
    <w:charset w:val="86"/>
    <w:family w:val="script"/>
    <w:pitch w:val="default"/>
    <w:sig w:usb0="00000000" w:usb1="00000000" w:usb2="00000000" w:usb3="00000000" w:csb0="00040000" w:csb1="00000000"/>
  </w:font>
  <w:font w:name="Times">
    <w:altName w:val="Times New Roman"/>
    <w:panose1 w:val="02020603050405020304"/>
    <w:charset w:val="00"/>
    <w:family w:val="roman"/>
    <w:pitch w:val="default"/>
    <w:sig w:usb0="00000000" w:usb1="00000000" w:usb2="00000000" w:usb3="00000000" w:csb0="000001FF" w:csb1="00000000"/>
  </w:font>
  <w:font w:name="仿宋_GB2312">
    <w:altName w:val="仿宋"/>
    <w:panose1 w:val="00000000000000000000"/>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楷体">
    <w:panose1 w:val="02010609060101010101"/>
    <w:charset w:val="86"/>
    <w:family w:val="modern"/>
    <w:pitch w:val="default"/>
    <w:sig w:usb0="800002BF" w:usb1="38CF7CFA" w:usb2="00000016" w:usb3="00000000" w:csb0="00040001" w:csb1="00000000"/>
  </w:font>
  <w:font w:name="方正仿宋_GB2312">
    <w:altName w:val="仿宋"/>
    <w:panose1 w:val="00000000000000000000"/>
    <w:charset w:val="86"/>
    <w:family w:val="auto"/>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font>
  <w:font w:name="Gulim">
    <w:panose1 w:val="020B0600000101010101"/>
    <w:charset w:val="81"/>
    <w:family w:val="auto"/>
    <w:pitch w:val="default"/>
    <w:sig w:usb0="B00002AF" w:usb1="69D77CFB" w:usb2="00000030" w:usb3="00000000" w:csb0="4008009F" w:csb1="DFD70000"/>
  </w:font>
  <w:font w:name="微软雅黑">
    <w:panose1 w:val="020B0503020204020204"/>
    <w:charset w:val="86"/>
    <w:family w:val="auto"/>
    <w:pitch w:val="default"/>
    <w:sig w:usb0="80000287" w:usb1="280F3C52" w:usb2="00000016" w:usb3="00000000" w:csb0="0004001F" w:csb1="00000000"/>
  </w:font>
  <w:font w:name="Cambria Math">
    <w:panose1 w:val="02040503050406030204"/>
    <w:charset w:val="00"/>
    <w:family w:val="auto"/>
    <w:pitch w:val="variable"/>
    <w:sig w:usb0="E00002FF" w:usb1="420024FF" w:usb2="00000000" w:usb3="00000000" w:csb0="2000019F" w:csb1="00000000"/>
  </w:font>
  <w:font w:name="@宋体">
    <w:panose1 w:val="02010600030101010101"/>
    <w:charset w:val="86"/>
    <w:family w:val="auto"/>
    <w:pitch w:val="variable"/>
    <w:sig w:usb0="000000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pict>
        <v:shape id="_x0000_s2050" o:spid="_x0000_s2050"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path/>
          <v:fill on="f" focussize="0,0"/>
          <v:stroke on="f" weight="0.5pt" joinstyle="miter"/>
          <v:imagedata o:title=""/>
          <o:lock v:ext="edit"/>
          <v:textbox inset="0mm,0mm,0mm,0mm" style="mso-fit-shape-to-text:t;">
            <w:txbxContent>
              <w:p>
                <w:pPr>
                  <w:pStyle w:val="13"/>
                </w:pPr>
                <w:r>
                  <w:fldChar w:fldCharType="begin"/>
                </w:r>
                <w:r>
                  <w:instrText xml:space="preserve"> PAGE  \* MERGEFORMAT </w:instrText>
                </w:r>
                <w:r>
                  <w:fldChar w:fldCharType="separate"/>
                </w:r>
                <w:r>
                  <w:t>3</w:t>
                </w:r>
                <w: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pict>
        <v:shape id="_x0000_s2049" o:spid="_x0000_s2049"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path/>
          <v:fill on="f" focussize="0,0"/>
          <v:stroke on="f" weight="0.5pt" joinstyle="miter"/>
          <v:imagedata o:title=""/>
          <o:lock v:ext="edit"/>
          <v:textbox inset="0mm,0mm,0mm,0mm" style="mso-fit-shape-to-text:t;">
            <w:txbxContent>
              <w:p>
                <w:pPr>
                  <w:pStyle w:val="13"/>
                </w:pPr>
                <w:r>
                  <w:fldChar w:fldCharType="begin"/>
                </w:r>
                <w:r>
                  <w:instrText xml:space="preserve"> PAGE  \* MERGEFORMAT </w:instrText>
                </w:r>
                <w:r>
                  <w:fldChar w:fldCharType="separate"/>
                </w:r>
                <w:r>
                  <w:t>41</w:t>
                </w:r>
                <w:r>
                  <w:fldChar w:fldCharType="end"/>
                </w:r>
              </w:p>
            </w:txbxContent>
          </v:textbox>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center"/>
      <w:rPr>
        <w:rFonts w:ascii="宋体" w:hAnsi="宋体"/>
        <w:sz w:val="28"/>
        <w:szCs w:val="28"/>
      </w:rPr>
    </w:pPr>
    <w:r>
      <w:rPr>
        <w:rFonts w:hint="eastAsia" w:ascii="宋体" w:hAnsi="宋体"/>
        <w:sz w:val="28"/>
        <w:szCs w:val="28"/>
      </w:rPr>
      <w:t>—</w:t>
    </w:r>
    <w:r>
      <w:rPr>
        <w:rFonts w:hint="eastAsia" w:ascii="宋体" w:hAnsi="宋体"/>
        <w:sz w:val="20"/>
        <w:szCs w:val="20"/>
      </w:rPr>
      <w:t xml:space="preserve">  </w:t>
    </w:r>
    <w:r>
      <w:rPr>
        <w:rFonts w:hint="eastAsia" w:ascii="宋体" w:hAnsi="宋体"/>
        <w:sz w:val="26"/>
        <w:szCs w:val="26"/>
      </w:rPr>
      <w:fldChar w:fldCharType="begin"/>
    </w:r>
    <w:r>
      <w:rPr>
        <w:rFonts w:hint="eastAsia" w:ascii="宋体" w:hAnsi="宋体"/>
        <w:sz w:val="26"/>
        <w:szCs w:val="26"/>
      </w:rPr>
      <w:instrText xml:space="preserve">PAGE   \* MERGEFORMAT</w:instrText>
    </w:r>
    <w:r>
      <w:rPr>
        <w:rFonts w:hint="eastAsia" w:ascii="宋体" w:hAnsi="宋体"/>
        <w:sz w:val="26"/>
        <w:szCs w:val="26"/>
      </w:rPr>
      <w:fldChar w:fldCharType="separate"/>
    </w:r>
    <w:r>
      <w:rPr>
        <w:rFonts w:ascii="宋体" w:hAnsi="宋体"/>
        <w:sz w:val="26"/>
        <w:szCs w:val="26"/>
      </w:rPr>
      <w:t>42</w:t>
    </w:r>
    <w:r>
      <w:rPr>
        <w:rFonts w:hint="eastAsia" w:ascii="宋体" w:hAnsi="宋体"/>
        <w:sz w:val="26"/>
        <w:szCs w:val="26"/>
      </w:rPr>
      <w:fldChar w:fldCharType="end"/>
    </w:r>
    <w:r>
      <w:rPr>
        <w:rFonts w:hint="eastAsia" w:ascii="宋体" w:hAnsi="宋体"/>
        <w:sz w:val="20"/>
        <w:szCs w:val="20"/>
      </w:rPr>
      <w:t xml:space="preserve">  </w:t>
    </w:r>
    <w:r>
      <w:rPr>
        <w:rFonts w:hint="eastAsia" w:ascii="宋体" w:hAnsi="宋体"/>
        <w:sz w:val="28"/>
        <w:szCs w:val="28"/>
      </w:rPr>
      <w:t>—</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rPr>
        <w:rFonts w:ascii="仿宋" w:hAnsi="仿宋" w:eastAsia="仿宋" w:cs="仿宋"/>
        <w:b/>
        <w:bCs/>
        <w:sz w:val="21"/>
        <w:szCs w:val="2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2AE408E"/>
    <w:multiLevelType w:val="multilevel"/>
    <w:tmpl w:val="E2AE408E"/>
    <w:lvl w:ilvl="0" w:tentative="0">
      <w:start w:val="2"/>
      <w:numFmt w:val="decimal"/>
      <w:suff w:val="nothing"/>
      <w:lvlText w:val="%1、"/>
      <w:lvlJc w:val="left"/>
      <w:pPr>
        <w:ind w:left="0" w:firstLine="0"/>
      </w:pPr>
      <w:rPr>
        <w:rFonts w:hint="default"/>
        <w:sz w:val="21"/>
        <w:szCs w:val="21"/>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
    <w:nsid w:val="5B706082"/>
    <w:multiLevelType w:val="singleLevel"/>
    <w:tmpl w:val="5B706082"/>
    <w:lvl w:ilvl="0" w:tentative="0">
      <w:start w:val="4"/>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doNotUseIndentAsNumberingTabStop/>
    <w:useAltKinsokuLineBreakRules/>
    <w:compatSetting w:name="compatibilityMode" w:uri="http://schemas.microsoft.com/office/word" w:val="12"/>
  </w:compat>
  <w:docVars>
    <w:docVar w:name="commondata" w:val="eyJoZGlkIjoiNDM2ODYwMWQwMTcyZWJiOTU5ZWJiNTAwY2RlNThmZmMifQ=="/>
  </w:docVars>
  <w:rsids>
    <w:rsidRoot w:val="39C22855"/>
    <w:rsid w:val="00024813"/>
    <w:rsid w:val="0006337E"/>
    <w:rsid w:val="000669E6"/>
    <w:rsid w:val="000859E9"/>
    <w:rsid w:val="00096676"/>
    <w:rsid w:val="000B5322"/>
    <w:rsid w:val="000C3DE7"/>
    <w:rsid w:val="001740C6"/>
    <w:rsid w:val="00202207"/>
    <w:rsid w:val="00226D68"/>
    <w:rsid w:val="00281043"/>
    <w:rsid w:val="00336216"/>
    <w:rsid w:val="00343FA7"/>
    <w:rsid w:val="00364C57"/>
    <w:rsid w:val="0038509C"/>
    <w:rsid w:val="004272B2"/>
    <w:rsid w:val="0045107A"/>
    <w:rsid w:val="00572D53"/>
    <w:rsid w:val="006242BF"/>
    <w:rsid w:val="00630458"/>
    <w:rsid w:val="0064799A"/>
    <w:rsid w:val="00654403"/>
    <w:rsid w:val="006D09AB"/>
    <w:rsid w:val="0077082C"/>
    <w:rsid w:val="007A5FFF"/>
    <w:rsid w:val="007A64C1"/>
    <w:rsid w:val="007B4D89"/>
    <w:rsid w:val="00815DE2"/>
    <w:rsid w:val="009322E8"/>
    <w:rsid w:val="009355E7"/>
    <w:rsid w:val="00A250B9"/>
    <w:rsid w:val="00AD59CE"/>
    <w:rsid w:val="00BB0580"/>
    <w:rsid w:val="00C404DD"/>
    <w:rsid w:val="00C51D69"/>
    <w:rsid w:val="00CC16EA"/>
    <w:rsid w:val="00D05210"/>
    <w:rsid w:val="00D17573"/>
    <w:rsid w:val="00D65647"/>
    <w:rsid w:val="00D87F82"/>
    <w:rsid w:val="00DC6BE5"/>
    <w:rsid w:val="00DE26F9"/>
    <w:rsid w:val="00DE791A"/>
    <w:rsid w:val="00DE7DC8"/>
    <w:rsid w:val="00EA43F1"/>
    <w:rsid w:val="00F77812"/>
    <w:rsid w:val="00FB3D98"/>
    <w:rsid w:val="01455F24"/>
    <w:rsid w:val="02672DC5"/>
    <w:rsid w:val="02832E35"/>
    <w:rsid w:val="03F1118F"/>
    <w:rsid w:val="03F1578E"/>
    <w:rsid w:val="058005C7"/>
    <w:rsid w:val="066A3B9B"/>
    <w:rsid w:val="068C42EA"/>
    <w:rsid w:val="07DA312E"/>
    <w:rsid w:val="083B0020"/>
    <w:rsid w:val="08A44B31"/>
    <w:rsid w:val="09A54692"/>
    <w:rsid w:val="0B242EC5"/>
    <w:rsid w:val="0B6D120E"/>
    <w:rsid w:val="0C9F2CE9"/>
    <w:rsid w:val="0F856DB3"/>
    <w:rsid w:val="10DD13A5"/>
    <w:rsid w:val="1119630C"/>
    <w:rsid w:val="1152070C"/>
    <w:rsid w:val="119C3A2C"/>
    <w:rsid w:val="11AE47A1"/>
    <w:rsid w:val="12D20E80"/>
    <w:rsid w:val="13316B34"/>
    <w:rsid w:val="14CF6D94"/>
    <w:rsid w:val="14DC1398"/>
    <w:rsid w:val="15335814"/>
    <w:rsid w:val="16581E4A"/>
    <w:rsid w:val="17A252C5"/>
    <w:rsid w:val="17A8196F"/>
    <w:rsid w:val="18D7563E"/>
    <w:rsid w:val="1982001C"/>
    <w:rsid w:val="1C0B7651"/>
    <w:rsid w:val="1C440AE4"/>
    <w:rsid w:val="1DA95586"/>
    <w:rsid w:val="1DAC4CE8"/>
    <w:rsid w:val="1DDB57E1"/>
    <w:rsid w:val="1EE15101"/>
    <w:rsid w:val="2130441F"/>
    <w:rsid w:val="21747CD2"/>
    <w:rsid w:val="222F59A7"/>
    <w:rsid w:val="22934188"/>
    <w:rsid w:val="24F61FC3"/>
    <w:rsid w:val="254C646A"/>
    <w:rsid w:val="259D59F7"/>
    <w:rsid w:val="25C37AF0"/>
    <w:rsid w:val="2738727A"/>
    <w:rsid w:val="2A17569E"/>
    <w:rsid w:val="2AD01AD2"/>
    <w:rsid w:val="2E071B16"/>
    <w:rsid w:val="2F7805A0"/>
    <w:rsid w:val="2F8135BA"/>
    <w:rsid w:val="30896D3C"/>
    <w:rsid w:val="30F17C8F"/>
    <w:rsid w:val="326C7FDE"/>
    <w:rsid w:val="33E35F70"/>
    <w:rsid w:val="3440459B"/>
    <w:rsid w:val="34C25A5B"/>
    <w:rsid w:val="35C44659"/>
    <w:rsid w:val="35E41BE2"/>
    <w:rsid w:val="36C50D75"/>
    <w:rsid w:val="394C107B"/>
    <w:rsid w:val="398217A1"/>
    <w:rsid w:val="39C22855"/>
    <w:rsid w:val="3B657F08"/>
    <w:rsid w:val="3D672041"/>
    <w:rsid w:val="3ED967E9"/>
    <w:rsid w:val="3FC512A1"/>
    <w:rsid w:val="404A7EE5"/>
    <w:rsid w:val="4205007B"/>
    <w:rsid w:val="424301C2"/>
    <w:rsid w:val="4294370A"/>
    <w:rsid w:val="42E13699"/>
    <w:rsid w:val="43601A0D"/>
    <w:rsid w:val="444E13D2"/>
    <w:rsid w:val="444F360A"/>
    <w:rsid w:val="44D3415D"/>
    <w:rsid w:val="45051C37"/>
    <w:rsid w:val="46B61944"/>
    <w:rsid w:val="47B50181"/>
    <w:rsid w:val="492F58E2"/>
    <w:rsid w:val="4A5E742E"/>
    <w:rsid w:val="4A670450"/>
    <w:rsid w:val="4BAF5072"/>
    <w:rsid w:val="4EEC77D3"/>
    <w:rsid w:val="4F440FD0"/>
    <w:rsid w:val="4FF736F9"/>
    <w:rsid w:val="50042E02"/>
    <w:rsid w:val="502B7464"/>
    <w:rsid w:val="50BF73C8"/>
    <w:rsid w:val="50DE3CDE"/>
    <w:rsid w:val="50EA2FC6"/>
    <w:rsid w:val="5144566B"/>
    <w:rsid w:val="52331762"/>
    <w:rsid w:val="53B244CD"/>
    <w:rsid w:val="5519761B"/>
    <w:rsid w:val="55AF412E"/>
    <w:rsid w:val="57971F57"/>
    <w:rsid w:val="57A61AE9"/>
    <w:rsid w:val="57A93E7C"/>
    <w:rsid w:val="58A21BE1"/>
    <w:rsid w:val="590824D3"/>
    <w:rsid w:val="59811064"/>
    <w:rsid w:val="5B6339F0"/>
    <w:rsid w:val="5B812DBD"/>
    <w:rsid w:val="5BBB7554"/>
    <w:rsid w:val="5BD51522"/>
    <w:rsid w:val="5CCC1A69"/>
    <w:rsid w:val="5E1B2CA8"/>
    <w:rsid w:val="5F9056A5"/>
    <w:rsid w:val="5FD94F98"/>
    <w:rsid w:val="60D0335A"/>
    <w:rsid w:val="633361BB"/>
    <w:rsid w:val="63A16FB5"/>
    <w:rsid w:val="67642442"/>
    <w:rsid w:val="67D20A0F"/>
    <w:rsid w:val="68C12FD5"/>
    <w:rsid w:val="6ADE6180"/>
    <w:rsid w:val="6B607F4C"/>
    <w:rsid w:val="6B7721ED"/>
    <w:rsid w:val="6CC54683"/>
    <w:rsid w:val="6CD47E3F"/>
    <w:rsid w:val="6D394338"/>
    <w:rsid w:val="6E906D9A"/>
    <w:rsid w:val="6EA12335"/>
    <w:rsid w:val="7060279C"/>
    <w:rsid w:val="72764234"/>
    <w:rsid w:val="73F43927"/>
    <w:rsid w:val="74A420A5"/>
    <w:rsid w:val="75090055"/>
    <w:rsid w:val="793C10F0"/>
    <w:rsid w:val="79C14B25"/>
    <w:rsid w:val="79DB54DF"/>
    <w:rsid w:val="7A5C6F41"/>
    <w:rsid w:val="7A86601F"/>
    <w:rsid w:val="7AA24C1C"/>
    <w:rsid w:val="7C935EA0"/>
    <w:rsid w:val="7E276AED"/>
    <w:rsid w:val="7E4F32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9" w:semiHidden="0" w:name="heading 3"/>
    <w:lsdException w:qFormat="1" w:unhideWhenUsed="0" w:uiPriority="9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1" w:semiHidden="0" w:name="Body Text"/>
    <w:lsdException w:qFormat="1" w:unhideWhenUsed="0"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qFormat="1" w:uiPriority="99"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link w:val="40"/>
    <w:qFormat/>
    <w:uiPriority w:val="0"/>
    <w:pPr>
      <w:keepNext/>
      <w:keepLines/>
      <w:spacing w:before="340" w:after="330" w:line="578" w:lineRule="auto"/>
      <w:outlineLvl w:val="0"/>
    </w:pPr>
    <w:rPr>
      <w:b/>
      <w:bCs/>
      <w:kern w:val="44"/>
      <w:sz w:val="44"/>
      <w:szCs w:val="44"/>
    </w:rPr>
  </w:style>
  <w:style w:type="paragraph" w:styleId="4">
    <w:name w:val="heading 3"/>
    <w:basedOn w:val="1"/>
    <w:next w:val="1"/>
    <w:unhideWhenUsed/>
    <w:qFormat/>
    <w:uiPriority w:val="9"/>
    <w:pPr>
      <w:keepNext/>
      <w:keepLines/>
      <w:spacing w:before="260" w:after="260" w:line="416" w:lineRule="auto"/>
      <w:outlineLvl w:val="2"/>
    </w:pPr>
    <w:rPr>
      <w:b/>
      <w:bCs/>
      <w:sz w:val="32"/>
      <w:szCs w:val="32"/>
    </w:rPr>
  </w:style>
  <w:style w:type="paragraph" w:styleId="5">
    <w:name w:val="heading 4"/>
    <w:basedOn w:val="1"/>
    <w:next w:val="1"/>
    <w:qFormat/>
    <w:uiPriority w:val="99"/>
    <w:pPr>
      <w:keepNext/>
      <w:keepLines/>
      <w:autoSpaceDE w:val="0"/>
      <w:autoSpaceDN w:val="0"/>
      <w:adjustRightInd w:val="0"/>
      <w:spacing w:before="60" w:after="60" w:line="360" w:lineRule="auto"/>
      <w:ind w:left="864" w:hanging="864"/>
      <w:textAlignment w:val="baseline"/>
      <w:outlineLvl w:val="3"/>
    </w:pPr>
    <w:rPr>
      <w:color w:val="000000"/>
      <w:kern w:val="28"/>
      <w:sz w:val="24"/>
    </w:rPr>
  </w:style>
  <w:style w:type="character" w:default="1" w:styleId="20">
    <w:name w:val="Default Paragraph Font"/>
    <w:semiHidden/>
    <w:unhideWhenUsed/>
    <w:uiPriority w:val="1"/>
  </w:style>
  <w:style w:type="table" w:default="1" w:styleId="18">
    <w:name w:val="Normal Table"/>
    <w:semiHidden/>
    <w:unhideWhenUsed/>
    <w:qFormat/>
    <w:uiPriority w:val="99"/>
    <w:pPr>
      <w:keepNext w:val="0"/>
      <w:keepLines w:val="0"/>
      <w:widowControl/>
      <w:suppressLineNumbers w:val="0"/>
      <w:spacing w:before="0" w:beforeAutospacing="0" w:after="0" w:afterAutospacing="0"/>
      <w:ind w:left="0" w:right="0"/>
    </w:pPr>
    <w:rPr>
      <w:rFonts w:ascii="Calibri" w:hAnsi="Calibri" w:eastAsia="宋体" w:cs="Times New Roman"/>
      <w:kern w:val="2"/>
      <w:sz w:val="21"/>
      <w:szCs w:val="22"/>
    </w:rPr>
    <w:tblPr>
      <w:tblCellMar>
        <w:top w:w="0" w:type="dxa"/>
        <w:left w:w="108" w:type="dxa"/>
        <w:bottom w:w="0" w:type="dxa"/>
        <w:right w:w="108" w:type="dxa"/>
      </w:tblCellMar>
    </w:tblPr>
  </w:style>
  <w:style w:type="paragraph" w:customStyle="1" w:styleId="2">
    <w:name w:val="报告书正文"/>
    <w:autoRedefine/>
    <w:qFormat/>
    <w:uiPriority w:val="99"/>
    <w:pPr>
      <w:widowControl w:val="0"/>
      <w:adjustRightInd w:val="0"/>
      <w:spacing w:line="360" w:lineRule="exact"/>
      <w:ind w:firstLine="454"/>
      <w:jc w:val="both"/>
      <w:textAlignment w:val="baseline"/>
    </w:pPr>
    <w:rPr>
      <w:rFonts w:ascii="Times New Roman" w:hAnsi="Times New Roman" w:eastAsia="宋体" w:cs="Times New Roman"/>
      <w:sz w:val="24"/>
      <w:lang w:val="en-US" w:eastAsia="zh-CN" w:bidi="ar-SA"/>
    </w:rPr>
  </w:style>
  <w:style w:type="paragraph" w:styleId="6">
    <w:name w:val="Normal Indent"/>
    <w:basedOn w:val="1"/>
    <w:next w:val="1"/>
    <w:qFormat/>
    <w:uiPriority w:val="0"/>
    <w:pPr>
      <w:adjustRightInd w:val="0"/>
      <w:spacing w:line="360" w:lineRule="atLeast"/>
      <w:ind w:firstLine="420"/>
      <w:jc w:val="left"/>
      <w:textAlignment w:val="baseline"/>
    </w:pPr>
    <w:rPr>
      <w:rFonts w:ascii="宋体"/>
      <w:spacing w:val="20"/>
      <w:kern w:val="0"/>
    </w:rPr>
  </w:style>
  <w:style w:type="paragraph" w:styleId="7">
    <w:name w:val="Document Map"/>
    <w:basedOn w:val="1"/>
    <w:link w:val="36"/>
    <w:qFormat/>
    <w:uiPriority w:val="0"/>
    <w:rPr>
      <w:rFonts w:ascii="宋体" w:eastAsia="宋体"/>
      <w:sz w:val="18"/>
      <w:szCs w:val="18"/>
    </w:rPr>
  </w:style>
  <w:style w:type="paragraph" w:styleId="8">
    <w:name w:val="annotation text"/>
    <w:basedOn w:val="1"/>
    <w:qFormat/>
    <w:uiPriority w:val="0"/>
    <w:pPr>
      <w:jc w:val="left"/>
    </w:pPr>
  </w:style>
  <w:style w:type="paragraph" w:styleId="9">
    <w:name w:val="Body Text"/>
    <w:basedOn w:val="1"/>
    <w:qFormat/>
    <w:uiPriority w:val="1"/>
    <w:rPr>
      <w:rFonts w:ascii="宋体" w:hAnsi="宋体" w:eastAsia="宋体" w:cs="宋体"/>
      <w:sz w:val="24"/>
      <w:lang w:val="zh-CN" w:bidi="zh-CN"/>
    </w:rPr>
  </w:style>
  <w:style w:type="paragraph" w:styleId="10">
    <w:name w:val="Body Text Indent"/>
    <w:basedOn w:val="1"/>
    <w:qFormat/>
    <w:uiPriority w:val="99"/>
    <w:pPr>
      <w:ind w:left="720"/>
    </w:pPr>
    <w:rPr>
      <w:rFonts w:ascii="Times New Roman"/>
      <w:bCs/>
    </w:rPr>
  </w:style>
  <w:style w:type="paragraph" w:styleId="11">
    <w:name w:val="Plain Text"/>
    <w:basedOn w:val="1"/>
    <w:qFormat/>
    <w:uiPriority w:val="0"/>
    <w:pPr>
      <w:widowControl/>
      <w:spacing w:before="100" w:beforeAutospacing="1" w:after="100" w:afterAutospacing="1"/>
      <w:jc w:val="left"/>
    </w:pPr>
    <w:rPr>
      <w:rFonts w:ascii="方正小标宋_GBK" w:hAnsi="方正小标宋_GBK"/>
      <w:kern w:val="0"/>
      <w:sz w:val="18"/>
      <w:szCs w:val="18"/>
    </w:rPr>
  </w:style>
  <w:style w:type="paragraph" w:styleId="12">
    <w:name w:val="Balloon Text"/>
    <w:basedOn w:val="1"/>
    <w:link w:val="35"/>
    <w:qFormat/>
    <w:uiPriority w:val="0"/>
    <w:rPr>
      <w:sz w:val="18"/>
      <w:szCs w:val="18"/>
    </w:rPr>
  </w:style>
  <w:style w:type="paragraph" w:styleId="13">
    <w:name w:val="footer"/>
    <w:basedOn w:val="1"/>
    <w:unhideWhenUsed/>
    <w:qFormat/>
    <w:uiPriority w:val="99"/>
    <w:pPr>
      <w:tabs>
        <w:tab w:val="center" w:pos="4153"/>
        <w:tab w:val="right" w:pos="8306"/>
      </w:tabs>
    </w:pPr>
    <w:rPr>
      <w:rFonts w:ascii="Times New Roman" w:hAnsi="Times New Roman" w:eastAsia="宋体"/>
      <w:sz w:val="18"/>
      <w:szCs w:val="18"/>
    </w:rPr>
  </w:style>
  <w:style w:type="paragraph" w:styleId="1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5">
    <w:name w:val="toc 1"/>
    <w:basedOn w:val="1"/>
    <w:next w:val="1"/>
    <w:qFormat/>
    <w:uiPriority w:val="0"/>
  </w:style>
  <w:style w:type="paragraph" w:styleId="16">
    <w:name w:val="Body Text Indent 3"/>
    <w:basedOn w:val="1"/>
    <w:unhideWhenUsed/>
    <w:qFormat/>
    <w:uiPriority w:val="99"/>
    <w:pPr>
      <w:adjustRightInd w:val="0"/>
      <w:snapToGrid w:val="0"/>
      <w:spacing w:line="360" w:lineRule="auto"/>
      <w:ind w:firstLine="560" w:firstLineChars="200"/>
    </w:pPr>
    <w:rPr>
      <w:rFonts w:ascii="Calibri" w:hAnsi="Calibri" w:cs="宋体"/>
      <w:kern w:val="0"/>
      <w:sz w:val="28"/>
      <w:szCs w:val="28"/>
    </w:rPr>
  </w:style>
  <w:style w:type="paragraph" w:styleId="17">
    <w:name w:val="Normal (Web)"/>
    <w:basedOn w:val="1"/>
    <w:unhideWhenUsed/>
    <w:qFormat/>
    <w:uiPriority w:val="99"/>
    <w:pPr>
      <w:spacing w:before="100" w:beforeAutospacing="1" w:after="100" w:afterAutospacing="1"/>
      <w:jc w:val="left"/>
    </w:pPr>
    <w:rPr>
      <w:rFonts w:cs="Times New Roman"/>
      <w:kern w:val="0"/>
      <w:sz w:val="24"/>
    </w:rPr>
  </w:style>
  <w:style w:type="table" w:styleId="19">
    <w:name w:val="Table Grid"/>
    <w:basedOn w:val="18"/>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1">
    <w:name w:val="Hyperlink"/>
    <w:basedOn w:val="20"/>
    <w:qFormat/>
    <w:uiPriority w:val="0"/>
    <w:rPr>
      <w:color w:val="0000FF"/>
      <w:u w:val="single"/>
    </w:rPr>
  </w:style>
  <w:style w:type="character" w:styleId="22">
    <w:name w:val="annotation reference"/>
    <w:qFormat/>
    <w:uiPriority w:val="0"/>
    <w:rPr>
      <w:sz w:val="21"/>
      <w:szCs w:val="21"/>
    </w:rPr>
  </w:style>
  <w:style w:type="paragraph" w:customStyle="1" w:styleId="23">
    <w:name w:val="Default"/>
    <w:basedOn w:val="24"/>
    <w:next w:val="1"/>
    <w:qFormat/>
    <w:uiPriority w:val="0"/>
    <w:pPr>
      <w:tabs>
        <w:tab w:val="left" w:pos="4440"/>
      </w:tabs>
      <w:jc w:val="left"/>
    </w:pPr>
    <w:rPr>
      <w:rFonts w:hint="eastAsia" w:ascii="宋体" w:hAnsi="Times New Roman" w:cs="宋体"/>
      <w:color w:val="000000"/>
    </w:rPr>
  </w:style>
  <w:style w:type="paragraph" w:customStyle="1" w:styleId="24">
    <w:name w:val="表头"/>
    <w:basedOn w:val="1"/>
    <w:next w:val="1"/>
    <w:qFormat/>
    <w:uiPriority w:val="0"/>
    <w:pPr>
      <w:tabs>
        <w:tab w:val="left" w:pos="4440"/>
      </w:tabs>
      <w:autoSpaceDE w:val="0"/>
      <w:autoSpaceDN w:val="0"/>
      <w:adjustRightInd w:val="0"/>
      <w:snapToGrid w:val="0"/>
      <w:spacing w:beforeLines="25" w:afterLines="25"/>
      <w:jc w:val="center"/>
      <w:textAlignment w:val="bottom"/>
    </w:pPr>
    <w:rPr>
      <w:rFonts w:ascii="Times" w:hAnsi="Times" w:eastAsia="黑体"/>
      <w:b/>
      <w:snapToGrid w:val="0"/>
      <w:spacing w:val="16"/>
      <w:kern w:val="0"/>
      <w:sz w:val="24"/>
    </w:rPr>
  </w:style>
  <w:style w:type="paragraph" w:customStyle="1" w:styleId="25">
    <w:name w:val="正文格式"/>
    <w:basedOn w:val="1"/>
    <w:next w:val="1"/>
    <w:qFormat/>
    <w:uiPriority w:val="0"/>
    <w:pPr>
      <w:spacing w:line="360" w:lineRule="auto"/>
      <w:ind w:firstLine="482"/>
    </w:pPr>
    <w:rPr>
      <w:rFonts w:ascii="Times New Roman"/>
    </w:rPr>
  </w:style>
  <w:style w:type="paragraph" w:customStyle="1" w:styleId="26">
    <w:name w:val="0正文"/>
    <w:basedOn w:val="10"/>
    <w:unhideWhenUsed/>
    <w:qFormat/>
    <w:uiPriority w:val="0"/>
    <w:pPr>
      <w:spacing w:line="300" w:lineRule="auto"/>
      <w:ind w:firstLine="480" w:firstLineChars="200"/>
    </w:pPr>
    <w:rPr>
      <w:rFonts w:hAnsi="Times New Roman"/>
      <w:sz w:val="24"/>
    </w:rPr>
  </w:style>
  <w:style w:type="paragraph" w:customStyle="1" w:styleId="27">
    <w:name w:val="样式 正文11 + 首行缩进:  2 字符"/>
    <w:basedOn w:val="1"/>
    <w:qFormat/>
    <w:uiPriority w:val="0"/>
    <w:pPr>
      <w:spacing w:line="500" w:lineRule="exact"/>
      <w:ind w:firstLine="560" w:firstLineChars="200"/>
    </w:pPr>
    <w:rPr>
      <w:rFonts w:ascii="宋体" w:hAnsi="宋体" w:cs="宋体"/>
      <w:color w:val="FF0000"/>
      <w:sz w:val="28"/>
      <w:szCs w:val="20"/>
    </w:rPr>
  </w:style>
  <w:style w:type="paragraph" w:customStyle="1" w:styleId="28">
    <w:name w:val="【正文】"/>
    <w:basedOn w:val="1"/>
    <w:link w:val="38"/>
    <w:autoRedefine/>
    <w:qFormat/>
    <w:uiPriority w:val="0"/>
    <w:pPr>
      <w:spacing w:line="500" w:lineRule="exact"/>
      <w:ind w:firstLine="200" w:firstLineChars="200"/>
      <w:jc w:val="left"/>
    </w:pPr>
    <w:rPr>
      <w:spacing w:val="16"/>
      <w:kern w:val="0"/>
      <w:sz w:val="24"/>
      <w:szCs w:val="20"/>
    </w:rPr>
  </w:style>
  <w:style w:type="paragraph" w:customStyle="1" w:styleId="29">
    <w:name w:val="Char Char Char Char Char Char Char"/>
    <w:basedOn w:val="1"/>
    <w:autoRedefine/>
    <w:qFormat/>
    <w:uiPriority w:val="0"/>
    <w:pPr>
      <w:spacing w:line="360" w:lineRule="auto"/>
      <w:ind w:firstLine="200" w:firstLineChars="200"/>
    </w:pPr>
    <w:rPr>
      <w:rFonts w:ascii="宋体" w:hAnsi="宋体" w:cs="宋体"/>
      <w:sz w:val="24"/>
    </w:rPr>
  </w:style>
  <w:style w:type="paragraph" w:styleId="30">
    <w:name w:val="List Paragraph"/>
    <w:basedOn w:val="1"/>
    <w:autoRedefine/>
    <w:qFormat/>
    <w:uiPriority w:val="1"/>
    <w:pPr>
      <w:ind w:left="1437" w:hanging="421"/>
    </w:pPr>
    <w:rPr>
      <w:rFonts w:ascii="宋体" w:hAnsi="宋体" w:eastAsia="宋体" w:cs="宋体"/>
      <w:lang w:val="zh-CN" w:bidi="zh-CN"/>
    </w:rPr>
  </w:style>
  <w:style w:type="paragraph" w:customStyle="1" w:styleId="31">
    <w:name w:val="样式 首行缩进:  2 字符1"/>
    <w:basedOn w:val="1"/>
    <w:autoRedefine/>
    <w:qFormat/>
    <w:uiPriority w:val="0"/>
    <w:pPr>
      <w:ind w:firstLine="624" w:firstLineChars="200"/>
    </w:pPr>
    <w:rPr>
      <w:rFonts w:eastAsia="仿宋_GB2312" w:cs="宋体"/>
      <w:spacing w:val="6"/>
      <w:sz w:val="30"/>
      <w:szCs w:val="20"/>
    </w:rPr>
  </w:style>
  <w:style w:type="paragraph" w:customStyle="1" w:styleId="32">
    <w:name w:val="表格内容"/>
    <w:basedOn w:val="1"/>
    <w:autoRedefine/>
    <w:qFormat/>
    <w:uiPriority w:val="0"/>
    <w:pPr>
      <w:jc w:val="center"/>
    </w:pPr>
    <w:rPr>
      <w:szCs w:val="20"/>
    </w:rPr>
  </w:style>
  <w:style w:type="paragraph" w:customStyle="1" w:styleId="33">
    <w:name w:val="WPSOffice手动目录 1"/>
    <w:autoRedefine/>
    <w:qFormat/>
    <w:uiPriority w:val="0"/>
    <w:rPr>
      <w:rFonts w:ascii="Times New Roman" w:hAnsi="Times New Roman" w:eastAsia="宋体" w:cs="Times New Roman"/>
      <w:lang w:val="en-US" w:eastAsia="zh-CN" w:bidi="ar-SA"/>
    </w:rPr>
  </w:style>
  <w:style w:type="character" w:customStyle="1" w:styleId="34">
    <w:name w:val="页码1"/>
    <w:basedOn w:val="20"/>
    <w:autoRedefine/>
    <w:qFormat/>
    <w:uiPriority w:val="0"/>
  </w:style>
  <w:style w:type="character" w:customStyle="1" w:styleId="35">
    <w:name w:val="批注框文本 Char"/>
    <w:basedOn w:val="20"/>
    <w:link w:val="12"/>
    <w:autoRedefine/>
    <w:qFormat/>
    <w:uiPriority w:val="0"/>
    <w:rPr>
      <w:rFonts w:asciiTheme="minorHAnsi" w:hAnsiTheme="minorHAnsi" w:eastAsiaTheme="minorEastAsia" w:cstheme="minorBidi"/>
      <w:kern w:val="2"/>
      <w:sz w:val="18"/>
      <w:szCs w:val="18"/>
    </w:rPr>
  </w:style>
  <w:style w:type="character" w:customStyle="1" w:styleId="36">
    <w:name w:val="文档结构图 Char"/>
    <w:basedOn w:val="20"/>
    <w:link w:val="7"/>
    <w:qFormat/>
    <w:uiPriority w:val="0"/>
    <w:rPr>
      <w:rFonts w:ascii="宋体" w:hAnsiTheme="minorHAnsi" w:cstheme="minorBidi"/>
      <w:kern w:val="2"/>
      <w:sz w:val="18"/>
      <w:szCs w:val="18"/>
    </w:rPr>
  </w:style>
  <w:style w:type="paragraph" w:customStyle="1" w:styleId="37">
    <w:name w:val="列出段落1"/>
    <w:basedOn w:val="1"/>
    <w:qFormat/>
    <w:uiPriority w:val="0"/>
    <w:pPr>
      <w:widowControl/>
      <w:ind w:firstLine="420" w:firstLineChars="200"/>
      <w:jc w:val="left"/>
    </w:pPr>
    <w:rPr>
      <w:rFonts w:ascii="Tahoma" w:hAnsi="Tahoma" w:eastAsia="宋体" w:cs="Tahoma"/>
      <w:kern w:val="0"/>
      <w:szCs w:val="21"/>
    </w:rPr>
  </w:style>
  <w:style w:type="character" w:customStyle="1" w:styleId="38">
    <w:name w:val="【正文】 Char"/>
    <w:link w:val="28"/>
    <w:qFormat/>
    <w:uiPriority w:val="0"/>
    <w:rPr>
      <w:rFonts w:asciiTheme="minorHAnsi" w:hAnsiTheme="minorHAnsi" w:eastAsiaTheme="minorEastAsia" w:cstheme="minorBidi"/>
      <w:spacing w:val="16"/>
      <w:sz w:val="24"/>
    </w:rPr>
  </w:style>
  <w:style w:type="paragraph" w:customStyle="1" w:styleId="39">
    <w:name w:val="11111"/>
    <w:basedOn w:val="1"/>
    <w:next w:val="1"/>
    <w:uiPriority w:val="0"/>
    <w:pPr>
      <w:widowControl/>
      <w:adjustRightInd w:val="0"/>
      <w:snapToGrid w:val="0"/>
      <w:spacing w:before="100" w:beforeAutospacing="1" w:after="200" w:line="360" w:lineRule="auto"/>
      <w:ind w:firstLine="200" w:firstLineChars="200"/>
      <w:jc w:val="left"/>
    </w:pPr>
    <w:rPr>
      <w:rFonts w:ascii="宋体" w:hAnsi="宋体" w:eastAsia="宋体" w:cs="宋体"/>
      <w:kern w:val="0"/>
      <w:sz w:val="24"/>
    </w:rPr>
  </w:style>
  <w:style w:type="character" w:customStyle="1" w:styleId="40">
    <w:name w:val="标题 1 Char"/>
    <w:basedOn w:val="20"/>
    <w:link w:val="3"/>
    <w:qFormat/>
    <w:uiPriority w:val="0"/>
    <w:rPr>
      <w:rFonts w:asciiTheme="minorHAnsi" w:hAnsiTheme="minorHAnsi" w:eastAsiaTheme="minorEastAsia" w:cstheme="minorBidi"/>
      <w:b/>
      <w:bCs/>
      <w:kern w:val="44"/>
      <w:sz w:val="44"/>
      <w:szCs w:val="44"/>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header" Target="header1.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27.jpeg"/><Relationship Id="rId33" Type="http://schemas.openxmlformats.org/officeDocument/2006/relationships/image" Target="media/image26.jpeg"/><Relationship Id="rId32" Type="http://schemas.openxmlformats.org/officeDocument/2006/relationships/image" Target="media/image25.jpe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er" Target="footer1.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jpeg"/><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jpeg"/><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2050"/>
    <customShpInfo spid="_x0000_s2049"/>
    <customShpInfo spid="_x0000_s1032"/>
    <customShpInfo spid="_x0000_s1031"/>
    <customShpInfo spid="_x0000_s1030"/>
    <customShpInfo spid="_x0000_s1029"/>
    <customShpInfo spid="_x0000_s1028"/>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61</Pages>
  <Words>4215</Words>
  <Characters>24029</Characters>
  <Lines>200</Lines>
  <Paragraphs>56</Paragraphs>
  <TotalTime>32</TotalTime>
  <ScaleCrop>false</ScaleCrop>
  <LinksUpToDate>false</LinksUpToDate>
  <CharactersWithSpaces>28188</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2022-04-20T00:34:00Z</dcterms:created>
  <dc:creator>Administrator</dc:creator>
  <cp:lastModifiedBy>乾pēйgζ</cp:lastModifiedBy>
  <dcterms:modified xsi:type="dcterms:W3CDTF">2023-12-13T03:36:16Z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1CDE3ABBC4BA402F88E4E63F5B37CE90</vt:lpwstr>
  </property>
</Properties>
</file>